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DA" w:rsidRPr="00514DED" w:rsidRDefault="00514DED" w:rsidP="00514D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4DED">
        <w:rPr>
          <w:rFonts w:ascii="Arial" w:hAnsi="Arial" w:cs="Arial"/>
          <w:b/>
          <w:sz w:val="24"/>
          <w:szCs w:val="24"/>
        </w:rPr>
        <w:t xml:space="preserve">South Yorkshire Fire and Rescue </w:t>
      </w:r>
    </w:p>
    <w:p w:rsidR="00514DED" w:rsidRPr="00514DED" w:rsidRDefault="00514DED" w:rsidP="00514DED">
      <w:pPr>
        <w:spacing w:after="0" w:line="240" w:lineRule="auto"/>
        <w:rPr>
          <w:rFonts w:ascii="Arial" w:hAnsi="Arial" w:cs="Arial"/>
        </w:rPr>
      </w:pPr>
    </w:p>
    <w:p w:rsidR="00514DED" w:rsidRDefault="00514DED" w:rsidP="00514DE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Schedule of Special Services Charges from 1 April 2018 to 31 March 2019</w:t>
      </w:r>
      <w:bookmarkStart w:id="0" w:name="_GoBack"/>
      <w:bookmarkEnd w:id="0"/>
    </w:p>
    <w:p w:rsidR="00514DED" w:rsidRPr="00514DED" w:rsidRDefault="00514DED" w:rsidP="00514DED">
      <w:pPr>
        <w:spacing w:after="0" w:line="240" w:lineRule="auto"/>
        <w:rPr>
          <w:rFonts w:ascii="Arial" w:hAnsi="Arial" w:cs="Arial"/>
        </w:rPr>
      </w:pP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8206"/>
        <w:gridCol w:w="1012"/>
      </w:tblGrid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Rate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£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1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PERSONNEL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A charge per hour or part hour of each person employed.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33.48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2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APPLIANCES AND VEHICLES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 xml:space="preserve">An hourly rate, with part hours rounded up to the next completed half hour in respect of </w:t>
            </w:r>
            <w:r>
              <w:rPr>
                <w:rFonts w:ascii="Arial" w:eastAsia="Times New Roman" w:hAnsi="Arial" w:cs="Arial"/>
                <w:lang w:eastAsia="en-GB"/>
              </w:rPr>
              <w:t xml:space="preserve">each individual vehicle or appliance.  Time is recorded from leaving the fire station until the appliance is returned to their fire station, cleaned and ready for an emergency call.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Height Vehicle + crew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362.89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Special Appliance + crew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272.54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Rescue Pump + crew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314.21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Feather Weight Pump + transport &amp; crew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139.70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514DED">
              <w:rPr>
                <w:rFonts w:ascii="Arial" w:eastAsia="Times New Roman" w:hAnsi="Arial" w:cs="Arial"/>
                <w:lang w:eastAsia="en-GB"/>
              </w:rPr>
              <w:t>Ultra Light</w:t>
            </w:r>
            <w:proofErr w:type="spellEnd"/>
            <w:r w:rsidRPr="00514DED">
              <w:rPr>
                <w:rFonts w:ascii="Arial" w:eastAsia="Times New Roman" w:hAnsi="Arial" w:cs="Arial"/>
                <w:lang w:eastAsia="en-GB"/>
              </w:rPr>
              <w:t xml:space="preserve"> Pump + transport &amp; crew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42.65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3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EQUIPMENT (COLLECTED AND RETURNED BY HIRER)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A daily charge per day or part day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Hose per Length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18.31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Branch / Nozzle / Standpipe Key &amp; Bar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18.31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Salvage Sheet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18.31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4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TESTING AND REPAIRING EQUIPMENT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(Materials + Labour)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Hose Testing Per Length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17.26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Repair Per Patch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14.73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Tying in Couplings per pair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26.22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Recharging CA Cylinders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15.14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 xml:space="preserve">Extinguishers - Testing 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28.54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5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TESTING PRIVATE HYDRANTS (PER HYDRANT)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24.06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6</w:t>
            </w: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14DED">
              <w:rPr>
                <w:rFonts w:ascii="Arial" w:eastAsia="Times New Roman" w:hAnsi="Arial" w:cs="Arial"/>
                <w:b/>
                <w:bCs/>
                <w:lang w:eastAsia="en-GB"/>
              </w:rPr>
              <w:t>SERVICE GAS TIGHT SUIT (USED AT COMMERCIAL PREMISES)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Cleaning &amp; Testing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182.04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Disposal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168.54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Replacement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645.27</w:t>
            </w: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14DED" w:rsidRPr="00514DED" w:rsidTr="00514DED">
        <w:trPr>
          <w:trHeight w:val="276"/>
        </w:trPr>
        <w:tc>
          <w:tcPr>
            <w:tcW w:w="339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8206" w:type="dxa"/>
            <w:shd w:val="clear" w:color="auto" w:fill="auto"/>
            <w:noWrap/>
            <w:vAlign w:val="center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14DED">
              <w:rPr>
                <w:rFonts w:ascii="Arial" w:eastAsia="Times New Roman" w:hAnsi="Arial" w:cs="Arial"/>
                <w:lang w:eastAsia="en-GB"/>
              </w:rPr>
              <w:t>VAT IS TO ADDED ON TO ALL THESE FIGURES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514DED" w:rsidRPr="00514DED" w:rsidRDefault="00514DED" w:rsidP="00514D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14DED" w:rsidRDefault="00514DED"/>
    <w:sectPr w:rsidR="0051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ED"/>
    <w:rsid w:val="001C06DA"/>
    <w:rsid w:val="0051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66AD"/>
  <w15:chartTrackingRefBased/>
  <w15:docId w15:val="{5632F93A-30A7-4E1B-BE72-8BA33AC5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Wiles Tracey</dc:creator>
  <cp:keywords/>
  <dc:description/>
  <cp:lastModifiedBy>Wiles Tracey</cp:lastModifiedBy>
  <cp:revision>1</cp:revision>
  <dcterms:created xsi:type="dcterms:W3CDTF">2019-02-13T16:03:00Z</dcterms:created>
  <dcterms:modified xsi:type="dcterms:W3CDTF">2019-02-13T16:15:00Z</dcterms:modified>
</cp:coreProperties>
</file>