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F6F" w:rsidRDefault="00337F6F"/>
    <w:tbl>
      <w:tblPr>
        <w:tblW w:w="10350" w:type="dxa"/>
        <w:tblLayout w:type="fixed"/>
        <w:tblLook w:val="01E0" w:firstRow="1" w:lastRow="1" w:firstColumn="1" w:lastColumn="1" w:noHBand="0" w:noVBand="0"/>
      </w:tblPr>
      <w:tblGrid>
        <w:gridCol w:w="988"/>
        <w:gridCol w:w="330"/>
        <w:gridCol w:w="1382"/>
        <w:gridCol w:w="1350"/>
        <w:gridCol w:w="720"/>
        <w:gridCol w:w="540"/>
        <w:gridCol w:w="2250"/>
        <w:gridCol w:w="2790"/>
      </w:tblGrid>
      <w:tr w:rsidR="00337F6F" w:rsidRPr="001518EE" w:rsidTr="00CB59FD">
        <w:tc>
          <w:tcPr>
            <w:tcW w:w="7560" w:type="dxa"/>
            <w:gridSpan w:val="7"/>
            <w:tcMar>
              <w:left w:w="0" w:type="dxa"/>
              <w:right w:w="0" w:type="dxa"/>
            </w:tcMar>
          </w:tcPr>
          <w:p w:rsidR="00337F6F" w:rsidRPr="00CB59FD" w:rsidRDefault="00C533DE" w:rsidP="00337F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Alexandra Johnson</w:t>
            </w:r>
          </w:p>
          <w:p w:rsidR="00337F6F" w:rsidRPr="00CB59FD" w:rsidRDefault="00337F6F" w:rsidP="00337F6F">
            <w:pPr>
              <w:rPr>
                <w:sz w:val="20"/>
                <w:szCs w:val="20"/>
              </w:rPr>
            </w:pPr>
            <w:r w:rsidRPr="00CB59FD">
              <w:rPr>
                <w:sz w:val="20"/>
                <w:szCs w:val="20"/>
              </w:rPr>
              <w:t>Chief Fire Officer &amp; Chief Executive</w:t>
            </w:r>
          </w:p>
          <w:p w:rsidR="00337F6F" w:rsidRPr="00CB59FD" w:rsidRDefault="00337F6F" w:rsidP="00337F6F">
            <w:pPr>
              <w:rPr>
                <w:sz w:val="16"/>
                <w:szCs w:val="16"/>
              </w:rPr>
            </w:pPr>
          </w:p>
        </w:tc>
        <w:tc>
          <w:tcPr>
            <w:tcW w:w="2790" w:type="dxa"/>
            <w:tcMar>
              <w:left w:w="0" w:type="dxa"/>
              <w:right w:w="0" w:type="dxa"/>
            </w:tcMar>
          </w:tcPr>
          <w:p w:rsidR="00337F6F" w:rsidRPr="00CB59FD" w:rsidRDefault="00337F6F" w:rsidP="00337F6F">
            <w:pPr>
              <w:rPr>
                <w:sz w:val="16"/>
                <w:szCs w:val="16"/>
              </w:rPr>
            </w:pPr>
          </w:p>
        </w:tc>
      </w:tr>
      <w:tr w:rsidR="00337F6F" w:rsidRPr="00057681" w:rsidTr="00CB59FD">
        <w:trPr>
          <w:trHeight w:val="315"/>
        </w:trPr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 w:rsidR="00337F6F" w:rsidRPr="00CB59FD" w:rsidRDefault="00337F6F" w:rsidP="00337F6F">
            <w:pPr>
              <w:rPr>
                <w:sz w:val="18"/>
                <w:szCs w:val="18"/>
              </w:rPr>
            </w:pPr>
            <w:r w:rsidRPr="00CB59FD">
              <w:rPr>
                <w:sz w:val="18"/>
                <w:szCs w:val="18"/>
              </w:rPr>
              <w:t>Date:</w:t>
            </w:r>
          </w:p>
        </w:tc>
        <w:tc>
          <w:tcPr>
            <w:tcW w:w="6572" w:type="dxa"/>
            <w:gridSpan w:val="6"/>
            <w:tcMar>
              <w:left w:w="0" w:type="dxa"/>
              <w:right w:w="0" w:type="dxa"/>
            </w:tcMar>
            <w:vAlign w:val="center"/>
          </w:tcPr>
          <w:p w:rsidR="00337F6F" w:rsidRPr="00CB59FD" w:rsidRDefault="004917B5" w:rsidP="00E102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26/11/2020</w:t>
            </w:r>
          </w:p>
        </w:tc>
        <w:tc>
          <w:tcPr>
            <w:tcW w:w="2790" w:type="dxa"/>
            <w:vMerge w:val="restart"/>
            <w:tcMar>
              <w:left w:w="0" w:type="dxa"/>
              <w:right w:w="0" w:type="dxa"/>
            </w:tcMar>
            <w:vAlign w:val="center"/>
          </w:tcPr>
          <w:p w:rsidR="00F72786" w:rsidRPr="00CB59FD" w:rsidRDefault="00F72786" w:rsidP="00CB59FD">
            <w:pPr>
              <w:jc w:val="center"/>
              <w:rPr>
                <w:sz w:val="19"/>
                <w:szCs w:val="19"/>
              </w:rPr>
            </w:pPr>
            <w:r w:rsidRPr="00CB59FD">
              <w:rPr>
                <w:sz w:val="19"/>
                <w:szCs w:val="19"/>
              </w:rPr>
              <w:t xml:space="preserve">Sheffield </w:t>
            </w:r>
            <w:r w:rsidR="00097B06">
              <w:rPr>
                <w:sz w:val="19"/>
                <w:szCs w:val="19"/>
              </w:rPr>
              <w:t>Business</w:t>
            </w:r>
            <w:r w:rsidR="00073D88" w:rsidRPr="00CB59FD">
              <w:rPr>
                <w:sz w:val="19"/>
                <w:szCs w:val="19"/>
              </w:rPr>
              <w:t xml:space="preserve"> Fire</w:t>
            </w:r>
            <w:r w:rsidRPr="00CB59FD">
              <w:rPr>
                <w:sz w:val="19"/>
                <w:szCs w:val="19"/>
              </w:rPr>
              <w:t xml:space="preserve"> Safety</w:t>
            </w:r>
          </w:p>
          <w:p w:rsidR="00F72786" w:rsidRPr="00CB59FD" w:rsidRDefault="0090371A" w:rsidP="00CB59F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Street">
              <w:smartTag w:uri="urn:schemas-microsoft-com:office:smarttags" w:element="address">
                <w:r w:rsidRPr="00CB59FD">
                  <w:rPr>
                    <w:sz w:val="20"/>
                    <w:szCs w:val="20"/>
                  </w:rPr>
                  <w:t>197 Eyre Street</w:t>
                </w:r>
              </w:smartTag>
            </w:smartTag>
          </w:p>
          <w:p w:rsidR="00F72786" w:rsidRPr="00CB59FD" w:rsidRDefault="00F72786" w:rsidP="00CB59FD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place">
              <w:r w:rsidRPr="00CB59FD">
                <w:rPr>
                  <w:sz w:val="20"/>
                  <w:szCs w:val="20"/>
                </w:rPr>
                <w:t>Sheffield</w:t>
              </w:r>
            </w:smartTag>
          </w:p>
          <w:p w:rsidR="00F72786" w:rsidRPr="00CB59FD" w:rsidRDefault="00F72786" w:rsidP="00CB59FD">
            <w:pPr>
              <w:jc w:val="center"/>
              <w:rPr>
                <w:sz w:val="20"/>
                <w:szCs w:val="20"/>
              </w:rPr>
            </w:pPr>
            <w:r w:rsidRPr="00CB59FD">
              <w:rPr>
                <w:sz w:val="20"/>
                <w:szCs w:val="20"/>
              </w:rPr>
              <w:t>S1 3FG</w:t>
            </w:r>
          </w:p>
          <w:p w:rsidR="00F72786" w:rsidRPr="00CB59FD" w:rsidRDefault="00F72786" w:rsidP="00CB59FD">
            <w:pPr>
              <w:jc w:val="center"/>
              <w:rPr>
                <w:sz w:val="16"/>
                <w:szCs w:val="16"/>
              </w:rPr>
            </w:pPr>
          </w:p>
          <w:p w:rsidR="00F72786" w:rsidRPr="00CB59FD" w:rsidRDefault="003F5F99" w:rsidP="00CB59FD">
            <w:pPr>
              <w:jc w:val="center"/>
              <w:rPr>
                <w:sz w:val="20"/>
                <w:szCs w:val="20"/>
              </w:rPr>
            </w:pPr>
            <w:r w:rsidRPr="00CB59FD">
              <w:rPr>
                <w:sz w:val="20"/>
                <w:szCs w:val="20"/>
              </w:rPr>
              <w:t>Tel:   0114 272</w:t>
            </w:r>
            <w:r w:rsidR="00F72786" w:rsidRPr="00CB59FD">
              <w:rPr>
                <w:sz w:val="20"/>
                <w:szCs w:val="20"/>
              </w:rPr>
              <w:t>7202</w:t>
            </w:r>
          </w:p>
          <w:p w:rsidR="00337F6F" w:rsidRPr="00CB59FD" w:rsidRDefault="003F5F99" w:rsidP="00CB59FD">
            <w:pPr>
              <w:jc w:val="center"/>
              <w:rPr>
                <w:sz w:val="18"/>
                <w:szCs w:val="18"/>
              </w:rPr>
            </w:pPr>
            <w:r w:rsidRPr="00CB59FD">
              <w:rPr>
                <w:sz w:val="20"/>
                <w:szCs w:val="20"/>
              </w:rPr>
              <w:t>Fax:  0114 2532</w:t>
            </w:r>
            <w:r w:rsidR="00BB660E" w:rsidRPr="00CB59FD">
              <w:rPr>
                <w:sz w:val="20"/>
                <w:szCs w:val="20"/>
              </w:rPr>
              <w:t>888</w:t>
            </w:r>
          </w:p>
        </w:tc>
      </w:tr>
      <w:tr w:rsidR="00450B2E" w:rsidRPr="00057681" w:rsidTr="00CB59FD">
        <w:trPr>
          <w:trHeight w:val="315"/>
        </w:trPr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 w:rsidR="00337F6F" w:rsidRPr="00CB59FD" w:rsidRDefault="00337F6F" w:rsidP="00337F6F">
            <w:pPr>
              <w:rPr>
                <w:sz w:val="18"/>
                <w:szCs w:val="18"/>
              </w:rPr>
            </w:pPr>
            <w:r w:rsidRPr="00CB59FD">
              <w:rPr>
                <w:sz w:val="18"/>
                <w:szCs w:val="18"/>
              </w:rPr>
              <w:t>Your Ref:</w:t>
            </w:r>
          </w:p>
        </w:tc>
        <w:tc>
          <w:tcPr>
            <w:tcW w:w="3062" w:type="dxa"/>
            <w:gridSpan w:val="3"/>
            <w:tcMar>
              <w:left w:w="0" w:type="dxa"/>
              <w:right w:w="0" w:type="dxa"/>
            </w:tcMar>
            <w:vAlign w:val="center"/>
          </w:tcPr>
          <w:p w:rsidR="00337F6F" w:rsidRPr="00CB59FD" w:rsidRDefault="00337F6F" w:rsidP="00337F6F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 w:rsidR="00337F6F" w:rsidRPr="00CB59FD" w:rsidRDefault="00337F6F" w:rsidP="00337F6F">
            <w:pPr>
              <w:rPr>
                <w:sz w:val="18"/>
                <w:szCs w:val="18"/>
              </w:rPr>
            </w:pPr>
            <w:r w:rsidRPr="00CB59FD">
              <w:rPr>
                <w:sz w:val="18"/>
                <w:szCs w:val="18"/>
              </w:rPr>
              <w:t>Our Ref:</w:t>
            </w:r>
          </w:p>
        </w:tc>
        <w:tc>
          <w:tcPr>
            <w:tcW w:w="2790" w:type="dxa"/>
            <w:gridSpan w:val="2"/>
            <w:tcMar>
              <w:left w:w="0" w:type="dxa"/>
              <w:right w:w="0" w:type="dxa"/>
            </w:tcMar>
            <w:vAlign w:val="center"/>
          </w:tcPr>
          <w:p w:rsidR="00337F6F" w:rsidRPr="00CB59FD" w:rsidRDefault="006164BA" w:rsidP="006A21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SYFR/#539675</w:t>
            </w:r>
          </w:p>
        </w:tc>
        <w:tc>
          <w:tcPr>
            <w:tcW w:w="2790" w:type="dxa"/>
            <w:vMerge/>
            <w:tcMar>
              <w:left w:w="0" w:type="dxa"/>
              <w:right w:w="0" w:type="dxa"/>
            </w:tcMar>
            <w:vAlign w:val="center"/>
          </w:tcPr>
          <w:p w:rsidR="00337F6F" w:rsidRPr="00CB59FD" w:rsidRDefault="00337F6F" w:rsidP="00337F6F">
            <w:pPr>
              <w:rPr>
                <w:sz w:val="18"/>
                <w:szCs w:val="18"/>
              </w:rPr>
            </w:pPr>
          </w:p>
        </w:tc>
      </w:tr>
      <w:tr w:rsidR="00337F6F" w:rsidRPr="00057681" w:rsidTr="00CB59FD">
        <w:trPr>
          <w:trHeight w:val="315"/>
        </w:trPr>
        <w:tc>
          <w:tcPr>
            <w:tcW w:w="2700" w:type="dxa"/>
            <w:gridSpan w:val="3"/>
            <w:tcMar>
              <w:left w:w="0" w:type="dxa"/>
              <w:right w:w="0" w:type="dxa"/>
            </w:tcMar>
            <w:vAlign w:val="center"/>
          </w:tcPr>
          <w:p w:rsidR="00D90DC0" w:rsidRPr="00CB59FD" w:rsidRDefault="00D90DC0" w:rsidP="00337F6F">
            <w:pPr>
              <w:rPr>
                <w:sz w:val="18"/>
                <w:szCs w:val="18"/>
              </w:rPr>
            </w:pPr>
          </w:p>
          <w:p w:rsidR="00337F6F" w:rsidRPr="00CB59FD" w:rsidRDefault="00337F6F" w:rsidP="00337F6F">
            <w:pPr>
              <w:rPr>
                <w:sz w:val="18"/>
                <w:szCs w:val="18"/>
              </w:rPr>
            </w:pPr>
            <w:r w:rsidRPr="00CB59FD">
              <w:rPr>
                <w:sz w:val="18"/>
                <w:szCs w:val="18"/>
              </w:rPr>
              <w:t>This matter is being dealt with by:</w:t>
            </w:r>
          </w:p>
        </w:tc>
        <w:tc>
          <w:tcPr>
            <w:tcW w:w="4860" w:type="dxa"/>
            <w:gridSpan w:val="4"/>
            <w:tcMar>
              <w:left w:w="0" w:type="dxa"/>
              <w:right w:w="0" w:type="dxa"/>
            </w:tcMar>
            <w:vAlign w:val="center"/>
          </w:tcPr>
          <w:p w:rsidR="00D90DC0" w:rsidRPr="00CB59FD" w:rsidRDefault="00D90DC0" w:rsidP="00337F6F">
            <w:pPr>
              <w:rPr>
                <w:sz w:val="18"/>
                <w:szCs w:val="18"/>
              </w:rPr>
            </w:pPr>
          </w:p>
          <w:p w:rsidR="00337F6F" w:rsidRPr="00CB59FD" w:rsidRDefault="006164BA" w:rsidP="00DE6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Building Risk Review Team</w:t>
            </w:r>
          </w:p>
        </w:tc>
        <w:tc>
          <w:tcPr>
            <w:tcW w:w="2790" w:type="dxa"/>
            <w:vMerge/>
            <w:tcMar>
              <w:left w:w="0" w:type="dxa"/>
              <w:right w:w="0" w:type="dxa"/>
            </w:tcMar>
            <w:vAlign w:val="center"/>
          </w:tcPr>
          <w:p w:rsidR="00337F6F" w:rsidRPr="00CB59FD" w:rsidRDefault="00337F6F" w:rsidP="00337F6F">
            <w:pPr>
              <w:rPr>
                <w:sz w:val="18"/>
                <w:szCs w:val="18"/>
              </w:rPr>
            </w:pPr>
          </w:p>
        </w:tc>
      </w:tr>
      <w:tr w:rsidR="00450B2E" w:rsidRPr="00057681" w:rsidTr="00CB59FD">
        <w:trPr>
          <w:trHeight w:val="315"/>
        </w:trPr>
        <w:tc>
          <w:tcPr>
            <w:tcW w:w="1318" w:type="dxa"/>
            <w:gridSpan w:val="2"/>
            <w:tcMar>
              <w:left w:w="0" w:type="dxa"/>
              <w:right w:w="0" w:type="dxa"/>
            </w:tcMar>
            <w:vAlign w:val="center"/>
          </w:tcPr>
          <w:p w:rsidR="00337F6F" w:rsidRPr="00CB59FD" w:rsidRDefault="00337F6F" w:rsidP="00337F6F">
            <w:pPr>
              <w:rPr>
                <w:sz w:val="18"/>
                <w:szCs w:val="18"/>
              </w:rPr>
            </w:pPr>
            <w:r w:rsidRPr="00CB59FD">
              <w:rPr>
                <w:sz w:val="18"/>
                <w:szCs w:val="18"/>
              </w:rPr>
              <w:t>Tel Direct line:</w:t>
            </w:r>
          </w:p>
        </w:tc>
        <w:tc>
          <w:tcPr>
            <w:tcW w:w="2732" w:type="dxa"/>
            <w:gridSpan w:val="2"/>
            <w:tcMar>
              <w:left w:w="0" w:type="dxa"/>
              <w:right w:w="0" w:type="dxa"/>
            </w:tcMar>
            <w:vAlign w:val="center"/>
          </w:tcPr>
          <w:p w:rsidR="00337F6F" w:rsidRPr="00CB59FD" w:rsidRDefault="00337F6F" w:rsidP="00337F6F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Mar>
              <w:left w:w="0" w:type="dxa"/>
              <w:right w:w="0" w:type="dxa"/>
            </w:tcMar>
            <w:vAlign w:val="center"/>
          </w:tcPr>
          <w:p w:rsidR="00337F6F" w:rsidRPr="00CB59FD" w:rsidRDefault="00337F6F" w:rsidP="00337F6F">
            <w:pPr>
              <w:rPr>
                <w:sz w:val="18"/>
                <w:szCs w:val="18"/>
              </w:rPr>
            </w:pPr>
            <w:r w:rsidRPr="00CB59FD">
              <w:rPr>
                <w:sz w:val="18"/>
                <w:szCs w:val="18"/>
              </w:rPr>
              <w:t>Fax Direct line:</w:t>
            </w:r>
          </w:p>
        </w:tc>
        <w:tc>
          <w:tcPr>
            <w:tcW w:w="2250" w:type="dxa"/>
            <w:tcMar>
              <w:left w:w="0" w:type="dxa"/>
              <w:right w:w="0" w:type="dxa"/>
            </w:tcMar>
            <w:vAlign w:val="center"/>
          </w:tcPr>
          <w:p w:rsidR="00337F6F" w:rsidRPr="00CB59FD" w:rsidRDefault="00DE64A6" w:rsidP="00337F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0114 253 2888</w:t>
            </w:r>
          </w:p>
        </w:tc>
        <w:tc>
          <w:tcPr>
            <w:tcW w:w="2790" w:type="dxa"/>
            <w:vMerge/>
            <w:tcMar>
              <w:left w:w="0" w:type="dxa"/>
              <w:right w:w="0" w:type="dxa"/>
            </w:tcMar>
            <w:vAlign w:val="center"/>
          </w:tcPr>
          <w:p w:rsidR="00337F6F" w:rsidRPr="00CB59FD" w:rsidRDefault="00337F6F" w:rsidP="00337F6F">
            <w:pPr>
              <w:rPr>
                <w:sz w:val="18"/>
                <w:szCs w:val="18"/>
              </w:rPr>
            </w:pPr>
          </w:p>
        </w:tc>
      </w:tr>
      <w:tr w:rsidR="00337F6F" w:rsidRPr="00057681" w:rsidTr="00CB59FD">
        <w:trPr>
          <w:trHeight w:val="225"/>
        </w:trPr>
        <w:tc>
          <w:tcPr>
            <w:tcW w:w="988" w:type="dxa"/>
            <w:tcMar>
              <w:left w:w="0" w:type="dxa"/>
              <w:right w:w="0" w:type="dxa"/>
            </w:tcMar>
            <w:vAlign w:val="center"/>
          </w:tcPr>
          <w:p w:rsidR="00337F6F" w:rsidRPr="00CB59FD" w:rsidRDefault="00337F6F" w:rsidP="00337F6F">
            <w:pPr>
              <w:rPr>
                <w:sz w:val="18"/>
                <w:szCs w:val="18"/>
              </w:rPr>
            </w:pPr>
            <w:r w:rsidRPr="00CB59FD">
              <w:rPr>
                <w:sz w:val="18"/>
                <w:szCs w:val="18"/>
              </w:rPr>
              <w:t>Email:</w:t>
            </w:r>
          </w:p>
        </w:tc>
        <w:tc>
          <w:tcPr>
            <w:tcW w:w="3062" w:type="dxa"/>
            <w:gridSpan w:val="3"/>
            <w:tcMar>
              <w:left w:w="0" w:type="dxa"/>
              <w:right w:w="0" w:type="dxa"/>
            </w:tcMar>
            <w:vAlign w:val="center"/>
          </w:tcPr>
          <w:p w:rsidR="00337F6F" w:rsidRPr="00CB59FD" w:rsidRDefault="00E55237" w:rsidP="00337F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BRRprojectgroup@syfire.gov.uk</w:t>
            </w:r>
          </w:p>
        </w:tc>
        <w:tc>
          <w:tcPr>
            <w:tcW w:w="3510" w:type="dxa"/>
            <w:gridSpan w:val="3"/>
            <w:tcMar>
              <w:left w:w="0" w:type="dxa"/>
              <w:right w:w="0" w:type="dxa"/>
            </w:tcMar>
            <w:vAlign w:val="center"/>
          </w:tcPr>
          <w:p w:rsidR="00337F6F" w:rsidRPr="00CB59FD" w:rsidRDefault="00337F6F" w:rsidP="00337F6F">
            <w:pPr>
              <w:rPr>
                <w:sz w:val="18"/>
                <w:szCs w:val="18"/>
              </w:rPr>
            </w:pPr>
            <w:r w:rsidRPr="00CB59FD">
              <w:rPr>
                <w:sz w:val="18"/>
                <w:szCs w:val="18"/>
              </w:rPr>
              <w:t>Website:  www.syfire.gov.uk</w:t>
            </w:r>
          </w:p>
        </w:tc>
        <w:tc>
          <w:tcPr>
            <w:tcW w:w="2790" w:type="dxa"/>
            <w:vMerge/>
            <w:tcMar>
              <w:left w:w="0" w:type="dxa"/>
              <w:right w:w="0" w:type="dxa"/>
            </w:tcMar>
            <w:vAlign w:val="center"/>
          </w:tcPr>
          <w:p w:rsidR="00337F6F" w:rsidRPr="00CB59FD" w:rsidRDefault="00337F6F" w:rsidP="00337F6F">
            <w:pPr>
              <w:rPr>
                <w:sz w:val="18"/>
                <w:szCs w:val="18"/>
              </w:rPr>
            </w:pPr>
          </w:p>
        </w:tc>
      </w:tr>
      <w:tr w:rsidR="00337F6F" w:rsidRPr="001518EE" w:rsidTr="00CB59FD">
        <w:trPr>
          <w:trHeight w:val="360"/>
        </w:trPr>
        <w:tc>
          <w:tcPr>
            <w:tcW w:w="10350" w:type="dxa"/>
            <w:gridSpan w:val="8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337F6F" w:rsidRPr="00CB59FD" w:rsidRDefault="00337F6F" w:rsidP="00337F6F">
            <w:pPr>
              <w:rPr>
                <w:sz w:val="16"/>
                <w:szCs w:val="16"/>
              </w:rPr>
            </w:pPr>
          </w:p>
          <w:p w:rsidR="00337F6F" w:rsidRPr="00CB59FD" w:rsidRDefault="00337F6F" w:rsidP="00337F6F">
            <w:pPr>
              <w:rPr>
                <w:sz w:val="16"/>
                <w:szCs w:val="16"/>
              </w:rPr>
            </w:pPr>
          </w:p>
        </w:tc>
      </w:tr>
    </w:tbl>
    <w:p w:rsidR="001D4503" w:rsidRDefault="001D4503">
      <w:pPr>
        <w:sectPr w:rsidR="001D4503" w:rsidSect="00337F6F">
          <w:pgSz w:w="11906" w:h="16838" w:code="9"/>
          <w:pgMar w:top="720" w:right="1008" w:bottom="720" w:left="1008" w:header="576" w:footer="576" w:gutter="0"/>
          <w:cols w:space="720"/>
        </w:sectPr>
      </w:pPr>
    </w:p>
    <w:p w:rsidR="00423468" w:rsidRDefault="00423468" w:rsidP="00601187">
      <w:pPr>
        <w:jc w:val="both"/>
      </w:pPr>
    </w:p>
    <w:p w:rsidR="00B74A00" w:rsidRDefault="00B74A00" w:rsidP="00601187">
      <w:pPr>
        <w:jc w:val="both"/>
        <w:rPr>
          <w:rFonts w:cs="Arial"/>
          <w:bCs/>
        </w:rPr>
      </w:pPr>
    </w:p>
    <w:p w:rsidR="00B74A00" w:rsidRDefault="00B74A00" w:rsidP="00601187">
      <w:pPr>
        <w:jc w:val="both"/>
        <w:rPr>
          <w:rFonts w:cs="Arial"/>
          <w:bCs/>
        </w:rPr>
      </w:pPr>
    </w:p>
    <w:p w:rsidR="00B74A00" w:rsidRDefault="00B74A00" w:rsidP="00601187">
      <w:pPr>
        <w:jc w:val="both"/>
        <w:rPr>
          <w:rFonts w:cs="Arial"/>
          <w:bCs/>
        </w:rPr>
      </w:pPr>
    </w:p>
    <w:p w:rsidR="00601187" w:rsidRDefault="00B74A00" w:rsidP="00601187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Dear </w:t>
      </w:r>
      <w:r w:rsidR="00423468">
        <w:rPr>
          <w:rFonts w:cs="Arial"/>
          <w:bCs/>
        </w:rPr>
        <w:t>Sir/Madam</w:t>
      </w:r>
    </w:p>
    <w:p w:rsidR="00601187" w:rsidRDefault="00601187" w:rsidP="00601187">
      <w:pPr>
        <w:jc w:val="both"/>
        <w:rPr>
          <w:rFonts w:cs="Arial"/>
          <w:bCs/>
        </w:rPr>
      </w:pPr>
    </w:p>
    <w:p w:rsidR="00601187" w:rsidRDefault="00601187" w:rsidP="00601187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I am writing to you today on behalf of South Yorkshire Fire and Rescue to highlight the Fire Protection </w:t>
      </w:r>
      <w:proofErr w:type="gramStart"/>
      <w:r>
        <w:rPr>
          <w:rFonts w:cs="Arial"/>
          <w:bCs/>
        </w:rPr>
        <w:t>Board’s</w:t>
      </w:r>
      <w:proofErr w:type="gramEnd"/>
      <w:r>
        <w:rPr>
          <w:rFonts w:cs="Arial"/>
          <w:bCs/>
        </w:rPr>
        <w:t xml:space="preserve"> recently launched Building Risk Review (BRR) Programme for your attention.</w:t>
      </w:r>
    </w:p>
    <w:p w:rsidR="00423468" w:rsidRDefault="00423468" w:rsidP="00601187">
      <w:pPr>
        <w:jc w:val="both"/>
        <w:rPr>
          <w:rFonts w:cs="Arial"/>
          <w:bCs/>
        </w:rPr>
      </w:pPr>
    </w:p>
    <w:p w:rsidR="00423468" w:rsidRDefault="00601187" w:rsidP="00601187">
      <w:pPr>
        <w:jc w:val="both"/>
        <w:rPr>
          <w:rFonts w:cs="Arial"/>
          <w:bCs/>
        </w:rPr>
      </w:pPr>
      <w:proofErr w:type="gramStart"/>
      <w:r w:rsidRPr="00484E78">
        <w:rPr>
          <w:rFonts w:cs="Arial"/>
          <w:bCs/>
        </w:rPr>
        <w:t>As part of F</w:t>
      </w:r>
      <w:r>
        <w:rPr>
          <w:rFonts w:cs="Arial"/>
          <w:bCs/>
        </w:rPr>
        <w:t xml:space="preserve">ire and </w:t>
      </w:r>
      <w:r w:rsidRPr="00484E78">
        <w:rPr>
          <w:rFonts w:cs="Arial"/>
          <w:bCs/>
        </w:rPr>
        <w:t>R</w:t>
      </w:r>
      <w:r>
        <w:rPr>
          <w:rFonts w:cs="Arial"/>
          <w:bCs/>
        </w:rPr>
        <w:t xml:space="preserve">escue </w:t>
      </w:r>
      <w:r w:rsidRPr="00484E78">
        <w:rPr>
          <w:rFonts w:cs="Arial"/>
          <w:bCs/>
        </w:rPr>
        <w:t>S</w:t>
      </w:r>
      <w:r>
        <w:rPr>
          <w:rFonts w:cs="Arial"/>
          <w:bCs/>
        </w:rPr>
        <w:t>ervices</w:t>
      </w:r>
      <w:r w:rsidRPr="00484E78">
        <w:rPr>
          <w:rFonts w:cs="Arial"/>
          <w:bCs/>
        </w:rPr>
        <w:t xml:space="preserve">’ </w:t>
      </w:r>
      <w:r w:rsidR="00423468">
        <w:rPr>
          <w:rFonts w:cs="Arial"/>
          <w:bCs/>
        </w:rPr>
        <w:t xml:space="preserve">(FRSs) </w:t>
      </w:r>
      <w:r w:rsidRPr="00484E78">
        <w:rPr>
          <w:rFonts w:cs="Arial"/>
          <w:bCs/>
        </w:rPr>
        <w:t>ongoing national work</w:t>
      </w:r>
      <w:r w:rsidR="00423468">
        <w:rPr>
          <w:rFonts w:cs="Arial"/>
          <w:bCs/>
        </w:rPr>
        <w:t>,</w:t>
      </w:r>
      <w:r w:rsidRPr="00484E78">
        <w:rPr>
          <w:rFonts w:cs="Arial"/>
          <w:bCs/>
        </w:rPr>
        <w:t xml:space="preserve"> to understand and help reduce the risk in high rise residential buildings, the BRR </w:t>
      </w:r>
      <w:r>
        <w:rPr>
          <w:rFonts w:cs="Arial"/>
          <w:bCs/>
        </w:rPr>
        <w:t>P</w:t>
      </w:r>
      <w:r w:rsidRPr="00484E78">
        <w:rPr>
          <w:rFonts w:cs="Arial"/>
          <w:bCs/>
        </w:rPr>
        <w:t xml:space="preserve">rogramme </w:t>
      </w:r>
      <w:r w:rsidR="00423468">
        <w:rPr>
          <w:rFonts w:cs="Arial"/>
          <w:bCs/>
        </w:rPr>
        <w:t>aims to meet</w:t>
      </w:r>
      <w:r w:rsidRPr="00484E78">
        <w:rPr>
          <w:rFonts w:cs="Arial"/>
          <w:bCs/>
        </w:rPr>
        <w:t xml:space="preserve"> the ambition set out by the Secretary of State for Housing, Communities and Local Government in Parliament on 5</w:t>
      </w:r>
      <w:r w:rsidRPr="00B50B86">
        <w:rPr>
          <w:rFonts w:cs="Arial"/>
          <w:bCs/>
          <w:vertAlign w:val="superscript"/>
        </w:rPr>
        <w:t>th</w:t>
      </w:r>
      <w:r>
        <w:rPr>
          <w:rFonts w:cs="Arial"/>
          <w:bCs/>
        </w:rPr>
        <w:t xml:space="preserve"> </w:t>
      </w:r>
      <w:r w:rsidRPr="00484E78">
        <w:rPr>
          <w:rFonts w:cs="Arial"/>
          <w:bCs/>
        </w:rPr>
        <w:t>September 2019 to ‘significantly increase the pace of inspection activity across high rise residential and other high risk buildings’</w:t>
      </w:r>
      <w:r>
        <w:rPr>
          <w:rFonts w:cs="Arial"/>
          <w:bCs/>
        </w:rPr>
        <w:t>.</w:t>
      </w:r>
      <w:proofErr w:type="gramEnd"/>
      <w:r>
        <w:rPr>
          <w:rFonts w:cs="Arial"/>
          <w:bCs/>
        </w:rPr>
        <w:t xml:space="preserve"> The Ministry of Housing, Communities and Local Government has provided all FRSs in E</w:t>
      </w:r>
      <w:r w:rsidRPr="00E55237">
        <w:rPr>
          <w:rFonts w:cs="Arial"/>
          <w:bCs/>
        </w:rPr>
        <w:t>ngland with lists of buildings recorded as being in scope</w:t>
      </w:r>
      <w:r w:rsidR="00D45815" w:rsidRPr="00E55237">
        <w:rPr>
          <w:rFonts w:cs="Arial"/>
          <w:bCs/>
        </w:rPr>
        <w:t xml:space="preserve"> (</w:t>
      </w:r>
      <w:r w:rsidR="00423468">
        <w:rPr>
          <w:rFonts w:cs="Arial"/>
          <w:bCs/>
        </w:rPr>
        <w:t>over 18</w:t>
      </w:r>
      <w:r w:rsidR="00FB7E55">
        <w:rPr>
          <w:rFonts w:cs="Arial"/>
          <w:bCs/>
        </w:rPr>
        <w:t xml:space="preserve"> </w:t>
      </w:r>
      <w:r w:rsidR="00423468">
        <w:rPr>
          <w:rFonts w:cs="Arial"/>
          <w:bCs/>
        </w:rPr>
        <w:t xml:space="preserve">metres or </w:t>
      </w:r>
      <w:proofErr w:type="gramStart"/>
      <w:r w:rsidR="00D45815" w:rsidRPr="00E55237">
        <w:rPr>
          <w:rFonts w:cs="Arial"/>
          <w:bCs/>
        </w:rPr>
        <w:t>6</w:t>
      </w:r>
      <w:proofErr w:type="gramEnd"/>
      <w:r w:rsidR="00D45815" w:rsidRPr="00E55237">
        <w:rPr>
          <w:rFonts w:cs="Arial"/>
          <w:bCs/>
        </w:rPr>
        <w:t xml:space="preserve"> or more storeys)</w:t>
      </w:r>
      <w:r w:rsidR="00423468">
        <w:rPr>
          <w:rFonts w:cs="Arial"/>
          <w:bCs/>
        </w:rPr>
        <w:t>.</w:t>
      </w:r>
      <w:r w:rsidRPr="00E55237">
        <w:rPr>
          <w:rFonts w:cs="Arial"/>
          <w:bCs/>
        </w:rPr>
        <w:t xml:space="preserve"> </w:t>
      </w:r>
    </w:p>
    <w:p w:rsidR="00423468" w:rsidRDefault="00423468" w:rsidP="00601187">
      <w:pPr>
        <w:jc w:val="both"/>
        <w:rPr>
          <w:rFonts w:cs="Arial"/>
          <w:bCs/>
        </w:rPr>
      </w:pPr>
    </w:p>
    <w:p w:rsidR="00667A99" w:rsidRDefault="00423468" w:rsidP="00601187">
      <w:pPr>
        <w:jc w:val="both"/>
        <w:rPr>
          <w:rFonts w:cs="Arial"/>
          <w:bCs/>
          <w:color w:val="FF0000"/>
        </w:rPr>
      </w:pPr>
      <w:r w:rsidRPr="008A1D43">
        <w:rPr>
          <w:rFonts w:cs="Arial"/>
          <w:bCs/>
        </w:rPr>
        <w:t>A</w:t>
      </w:r>
      <w:r w:rsidR="00667A99" w:rsidRPr="008A1D43">
        <w:rPr>
          <w:rFonts w:cs="Arial"/>
          <w:bCs/>
        </w:rPr>
        <w:t xml:space="preserve">s </w:t>
      </w:r>
      <w:r w:rsidRPr="008A1D43">
        <w:rPr>
          <w:rFonts w:cs="Arial"/>
          <w:bCs/>
        </w:rPr>
        <w:t>a</w:t>
      </w:r>
      <w:r w:rsidR="00E55237" w:rsidRPr="008A1D43">
        <w:rPr>
          <w:rFonts w:cs="Arial"/>
          <w:bCs/>
        </w:rPr>
        <w:t xml:space="preserve"> </w:t>
      </w:r>
      <w:r w:rsidR="00B74A00">
        <w:rPr>
          <w:rFonts w:cs="Arial"/>
          <w:bCs/>
        </w:rPr>
        <w:t xml:space="preserve">Responsible </w:t>
      </w:r>
      <w:proofErr w:type="gramStart"/>
      <w:r w:rsidR="00B74A00">
        <w:rPr>
          <w:rFonts w:cs="Arial"/>
          <w:bCs/>
        </w:rPr>
        <w:t>P</w:t>
      </w:r>
      <w:r w:rsidR="00667A99" w:rsidRPr="008A1D43">
        <w:rPr>
          <w:rFonts w:cs="Arial"/>
          <w:bCs/>
        </w:rPr>
        <w:t>erson</w:t>
      </w:r>
      <w:proofErr w:type="gramEnd"/>
      <w:r w:rsidR="00667A99" w:rsidRPr="008A1D43">
        <w:rPr>
          <w:rFonts w:cs="Arial"/>
          <w:bCs/>
        </w:rPr>
        <w:t xml:space="preserve"> we</w:t>
      </w:r>
      <w:r w:rsidR="00225A01" w:rsidRPr="008A1D43">
        <w:rPr>
          <w:rFonts w:cs="Arial"/>
          <w:bCs/>
        </w:rPr>
        <w:t xml:space="preserve"> will</w:t>
      </w:r>
      <w:r w:rsidR="00667A99" w:rsidRPr="008A1D43">
        <w:rPr>
          <w:rFonts w:cs="Arial"/>
          <w:bCs/>
        </w:rPr>
        <w:t xml:space="preserve"> ask that you provide information on all building</w:t>
      </w:r>
      <w:r w:rsidR="00817D8D" w:rsidRPr="008A1D43">
        <w:rPr>
          <w:rFonts w:cs="Arial"/>
          <w:bCs/>
        </w:rPr>
        <w:t>s</w:t>
      </w:r>
      <w:r w:rsidR="00667A99" w:rsidRPr="008A1D43">
        <w:rPr>
          <w:rFonts w:cs="Arial"/>
          <w:bCs/>
        </w:rPr>
        <w:t xml:space="preserve"> in scope that you currently have control over.</w:t>
      </w:r>
    </w:p>
    <w:p w:rsidR="00612623" w:rsidRDefault="00612623" w:rsidP="00601187">
      <w:pPr>
        <w:jc w:val="both"/>
        <w:rPr>
          <w:rFonts w:cs="Arial"/>
          <w:bCs/>
        </w:rPr>
      </w:pPr>
    </w:p>
    <w:p w:rsidR="00601187" w:rsidRDefault="00601187" w:rsidP="00601187">
      <w:pPr>
        <w:jc w:val="both"/>
        <w:rPr>
          <w:rFonts w:cs="Arial"/>
          <w:bCs/>
        </w:rPr>
      </w:pPr>
      <w:r>
        <w:rPr>
          <w:rFonts w:cs="Arial"/>
          <w:bCs/>
        </w:rPr>
        <w:t>We will be carrying out visits to</w:t>
      </w:r>
      <w:r w:rsidR="005C547C">
        <w:rPr>
          <w:rFonts w:cs="Arial"/>
          <w:bCs/>
        </w:rPr>
        <w:t xml:space="preserve"> conduct an inspection of these building to assess the general fire precaution</w:t>
      </w:r>
      <w:r w:rsidR="00423468">
        <w:rPr>
          <w:rFonts w:cs="Arial"/>
          <w:bCs/>
        </w:rPr>
        <w:t>s</w:t>
      </w:r>
      <w:r w:rsidR="005C547C">
        <w:rPr>
          <w:rFonts w:cs="Arial"/>
          <w:bCs/>
        </w:rPr>
        <w:t xml:space="preserve"> in relation to The Regulatory Reform (Fire Safety) Order 2005</w:t>
      </w:r>
      <w:r w:rsidR="001E1489">
        <w:rPr>
          <w:rFonts w:cs="Arial"/>
          <w:bCs/>
        </w:rPr>
        <w:t>,</w:t>
      </w:r>
      <w:r>
        <w:rPr>
          <w:rFonts w:cs="Arial"/>
          <w:bCs/>
        </w:rPr>
        <w:t xml:space="preserve"> and </w:t>
      </w:r>
      <w:r w:rsidR="00423468">
        <w:rPr>
          <w:rFonts w:cs="Arial"/>
          <w:bCs/>
        </w:rPr>
        <w:t>reporting</w:t>
      </w:r>
      <w:r>
        <w:rPr>
          <w:rFonts w:cs="Arial"/>
          <w:bCs/>
        </w:rPr>
        <w:t xml:space="preserve"> information on factors</w:t>
      </w:r>
      <w:r w:rsidR="00FB7E55">
        <w:rPr>
          <w:rFonts w:cs="Arial"/>
          <w:bCs/>
        </w:rPr>
        <w:t xml:space="preserve"> that may</w:t>
      </w:r>
      <w:r>
        <w:rPr>
          <w:rFonts w:cs="Arial"/>
          <w:bCs/>
        </w:rPr>
        <w:t xml:space="preserve"> </w:t>
      </w:r>
      <w:proofErr w:type="gramStart"/>
      <w:r>
        <w:rPr>
          <w:rFonts w:cs="Arial"/>
          <w:bCs/>
        </w:rPr>
        <w:t xml:space="preserve">impact </w:t>
      </w:r>
      <w:r w:rsidR="00FB7E55">
        <w:rPr>
          <w:rFonts w:cs="Arial"/>
          <w:bCs/>
        </w:rPr>
        <w:t>on</w:t>
      </w:r>
      <w:proofErr w:type="gramEnd"/>
      <w:r w:rsidR="00FB7E55">
        <w:rPr>
          <w:rFonts w:cs="Arial"/>
          <w:bCs/>
        </w:rPr>
        <w:t xml:space="preserve"> </w:t>
      </w:r>
      <w:r>
        <w:rPr>
          <w:rFonts w:cs="Arial"/>
          <w:bCs/>
        </w:rPr>
        <w:t xml:space="preserve">fire safety back to the Fire Protection Board. To </w:t>
      </w:r>
      <w:r w:rsidR="007424AA">
        <w:rPr>
          <w:rFonts w:cs="Arial"/>
          <w:bCs/>
        </w:rPr>
        <w:t xml:space="preserve">facilitate the inspection </w:t>
      </w:r>
      <w:r>
        <w:rPr>
          <w:rFonts w:cs="Arial"/>
          <w:bCs/>
        </w:rPr>
        <w:t xml:space="preserve">ensure our records are current we </w:t>
      </w:r>
      <w:r w:rsidR="00423468">
        <w:rPr>
          <w:rFonts w:cs="Arial"/>
          <w:bCs/>
        </w:rPr>
        <w:t>will require</w:t>
      </w:r>
      <w:r>
        <w:rPr>
          <w:rFonts w:cs="Arial"/>
          <w:bCs/>
        </w:rPr>
        <w:t xml:space="preserve"> the following information:</w:t>
      </w:r>
    </w:p>
    <w:p w:rsidR="00432A71" w:rsidRDefault="00432A71" w:rsidP="00601187">
      <w:pPr>
        <w:jc w:val="both"/>
        <w:rPr>
          <w:rFonts w:cs="Arial"/>
          <w:bCs/>
        </w:rPr>
      </w:pPr>
    </w:p>
    <w:p w:rsidR="0074683C" w:rsidRDefault="007424AA" w:rsidP="0074683C">
      <w:pPr>
        <w:pStyle w:val="ListParagraph"/>
        <w:numPr>
          <w:ilvl w:val="0"/>
          <w:numId w:val="1"/>
        </w:numPr>
        <w:ind w:left="714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Fire Risk Assessment.</w:t>
      </w:r>
      <w:r w:rsidR="0074683C" w:rsidRPr="0074683C">
        <w:rPr>
          <w:rFonts w:ascii="Arial" w:hAnsi="Arial" w:cs="Arial"/>
          <w:bCs/>
        </w:rPr>
        <w:t xml:space="preserve"> </w:t>
      </w:r>
    </w:p>
    <w:p w:rsidR="0074683C" w:rsidRPr="00432A71" w:rsidRDefault="0074683C" w:rsidP="00432A71">
      <w:pPr>
        <w:pStyle w:val="ListParagraph"/>
        <w:numPr>
          <w:ilvl w:val="0"/>
          <w:numId w:val="1"/>
        </w:numPr>
        <w:ind w:left="714" w:hanging="357"/>
        <w:jc w:val="both"/>
        <w:rPr>
          <w:rFonts w:ascii="Arial" w:hAnsi="Arial" w:cs="Arial"/>
          <w:bCs/>
        </w:rPr>
      </w:pPr>
      <w:r w:rsidRPr="0074683C">
        <w:rPr>
          <w:rFonts w:ascii="Arial" w:hAnsi="Arial" w:cs="Arial"/>
          <w:bCs/>
        </w:rPr>
        <w:t>External wall system Assessmen</w:t>
      </w:r>
      <w:r w:rsidR="00432A71">
        <w:rPr>
          <w:rFonts w:ascii="Arial" w:hAnsi="Arial" w:cs="Arial"/>
          <w:bCs/>
        </w:rPr>
        <w:t xml:space="preserve">t. </w:t>
      </w:r>
      <w:r w:rsidR="00423468" w:rsidRPr="00432A71">
        <w:rPr>
          <w:rFonts w:ascii="Arial" w:hAnsi="Arial" w:cs="Arial"/>
          <w:bCs/>
        </w:rPr>
        <w:t>Including detail of the cladding and insulation</w:t>
      </w:r>
      <w:r w:rsidR="00432A71">
        <w:rPr>
          <w:rFonts w:ascii="Arial" w:hAnsi="Arial" w:cs="Arial"/>
          <w:bCs/>
        </w:rPr>
        <w:t xml:space="preserve"> types</w:t>
      </w:r>
      <w:r w:rsidR="008403F0" w:rsidRPr="00432A71">
        <w:rPr>
          <w:rFonts w:ascii="Arial" w:hAnsi="Arial" w:cs="Arial"/>
          <w:bCs/>
        </w:rPr>
        <w:t>.</w:t>
      </w:r>
    </w:p>
    <w:p w:rsidR="007424AA" w:rsidRDefault="0074683C" w:rsidP="00601187">
      <w:pPr>
        <w:pStyle w:val="ListParagraph"/>
        <w:numPr>
          <w:ilvl w:val="0"/>
          <w:numId w:val="1"/>
        </w:numPr>
        <w:ind w:left="714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Internal compartmentation Assessment.</w:t>
      </w:r>
    </w:p>
    <w:p w:rsidR="00C75F98" w:rsidRDefault="008403F0" w:rsidP="00601187">
      <w:pPr>
        <w:pStyle w:val="ListParagraph"/>
        <w:numPr>
          <w:ilvl w:val="0"/>
          <w:numId w:val="1"/>
        </w:numPr>
        <w:ind w:left="714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Details of the a</w:t>
      </w:r>
      <w:r w:rsidR="00C75F98">
        <w:rPr>
          <w:rFonts w:ascii="Arial" w:hAnsi="Arial" w:cs="Arial"/>
          <w:bCs/>
        </w:rPr>
        <w:t>dequacy of flat entrance doors.</w:t>
      </w:r>
    </w:p>
    <w:p w:rsidR="008403F0" w:rsidRDefault="008403F0" w:rsidP="00601187">
      <w:pPr>
        <w:pStyle w:val="ListParagraph"/>
        <w:numPr>
          <w:ilvl w:val="0"/>
          <w:numId w:val="1"/>
        </w:numPr>
        <w:ind w:left="714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Details of any smoke control systems within the building</w:t>
      </w:r>
    </w:p>
    <w:p w:rsidR="0074683C" w:rsidRDefault="008403F0" w:rsidP="0074683C">
      <w:pPr>
        <w:pStyle w:val="ListParagraph"/>
        <w:numPr>
          <w:ilvl w:val="0"/>
          <w:numId w:val="1"/>
        </w:numPr>
        <w:ind w:left="714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Detail of the Evacuation Strategy</w:t>
      </w:r>
    </w:p>
    <w:p w:rsidR="007424AA" w:rsidRPr="0074683C" w:rsidRDefault="007424AA" w:rsidP="0074683C">
      <w:pPr>
        <w:pStyle w:val="ListParagraph"/>
        <w:numPr>
          <w:ilvl w:val="0"/>
          <w:numId w:val="1"/>
        </w:numPr>
        <w:ind w:left="714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Testing and Maintenance </w:t>
      </w:r>
      <w:r w:rsidR="008403F0">
        <w:rPr>
          <w:rFonts w:ascii="Arial" w:hAnsi="Arial" w:cs="Arial"/>
          <w:bCs/>
        </w:rPr>
        <w:t>records for</w:t>
      </w:r>
      <w:r>
        <w:rPr>
          <w:rFonts w:ascii="Arial" w:hAnsi="Arial" w:cs="Arial"/>
          <w:bCs/>
        </w:rPr>
        <w:t xml:space="preserve"> fire safety systems.</w:t>
      </w:r>
    </w:p>
    <w:p w:rsidR="00601187" w:rsidRDefault="00C75F98" w:rsidP="00601187">
      <w:pPr>
        <w:pStyle w:val="ListParagraph"/>
        <w:numPr>
          <w:ilvl w:val="0"/>
          <w:numId w:val="1"/>
        </w:numPr>
        <w:ind w:left="714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Total </w:t>
      </w:r>
      <w:r w:rsidR="00601187">
        <w:rPr>
          <w:rFonts w:ascii="Arial" w:hAnsi="Arial" w:cs="Arial"/>
          <w:bCs/>
        </w:rPr>
        <w:t>N</w:t>
      </w:r>
      <w:r w:rsidR="0074683C">
        <w:rPr>
          <w:rFonts w:ascii="Arial" w:hAnsi="Arial" w:cs="Arial"/>
          <w:bCs/>
        </w:rPr>
        <w:t>umber of storeys</w:t>
      </w:r>
      <w:r>
        <w:rPr>
          <w:rFonts w:ascii="Arial" w:hAnsi="Arial" w:cs="Arial"/>
          <w:bCs/>
        </w:rPr>
        <w:t xml:space="preserve"> including ground</w:t>
      </w:r>
      <w:r w:rsidR="0074683C">
        <w:rPr>
          <w:rFonts w:ascii="Arial" w:hAnsi="Arial" w:cs="Arial"/>
          <w:bCs/>
        </w:rPr>
        <w:t>.</w:t>
      </w:r>
    </w:p>
    <w:p w:rsidR="0074683C" w:rsidRPr="0074683C" w:rsidRDefault="00C75F98" w:rsidP="0074683C">
      <w:pPr>
        <w:pStyle w:val="ListParagraph"/>
        <w:numPr>
          <w:ilvl w:val="0"/>
          <w:numId w:val="1"/>
        </w:numPr>
        <w:ind w:left="714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Number of staircases</w:t>
      </w:r>
      <w:r w:rsidR="0074683C">
        <w:rPr>
          <w:rFonts w:ascii="Arial" w:hAnsi="Arial" w:cs="Arial"/>
          <w:bCs/>
        </w:rPr>
        <w:t>.</w:t>
      </w:r>
    </w:p>
    <w:p w:rsidR="00601187" w:rsidRDefault="008403F0" w:rsidP="00601187">
      <w:pPr>
        <w:pStyle w:val="ListParagraph"/>
        <w:numPr>
          <w:ilvl w:val="0"/>
          <w:numId w:val="1"/>
        </w:numPr>
        <w:ind w:left="714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If</w:t>
      </w:r>
      <w:r w:rsidR="00601187">
        <w:rPr>
          <w:rFonts w:ascii="Arial" w:hAnsi="Arial" w:cs="Arial"/>
          <w:bCs/>
        </w:rPr>
        <w:t xml:space="preserve"> the building ha</w:t>
      </w:r>
      <w:r>
        <w:rPr>
          <w:rFonts w:ascii="Arial" w:hAnsi="Arial" w:cs="Arial"/>
          <w:bCs/>
        </w:rPr>
        <w:t>s</w:t>
      </w:r>
      <w:r w:rsidR="00601187">
        <w:rPr>
          <w:rFonts w:ascii="Arial" w:hAnsi="Arial" w:cs="Arial"/>
          <w:bCs/>
        </w:rPr>
        <w:t xml:space="preserve"> a basement and/or</w:t>
      </w:r>
      <w:r w:rsidR="0074683C">
        <w:rPr>
          <w:rFonts w:ascii="Arial" w:hAnsi="Arial" w:cs="Arial"/>
          <w:bCs/>
        </w:rPr>
        <w:t xml:space="preserve"> balconies</w:t>
      </w:r>
    </w:p>
    <w:p w:rsidR="00601187" w:rsidRDefault="00601187" w:rsidP="00601187">
      <w:pPr>
        <w:pStyle w:val="ListParagraph"/>
        <w:numPr>
          <w:ilvl w:val="0"/>
          <w:numId w:val="1"/>
        </w:numPr>
        <w:ind w:left="714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 w:rsidR="008403F0">
        <w:rPr>
          <w:rFonts w:ascii="Arial" w:hAnsi="Arial" w:cs="Arial"/>
          <w:bCs/>
        </w:rPr>
        <w:t>f</w:t>
      </w:r>
      <w:r>
        <w:rPr>
          <w:rFonts w:ascii="Arial" w:hAnsi="Arial" w:cs="Arial"/>
          <w:bCs/>
        </w:rPr>
        <w:t xml:space="preserve"> there </w:t>
      </w:r>
      <w:r w:rsidR="008403F0">
        <w:rPr>
          <w:rFonts w:ascii="Arial" w:hAnsi="Arial" w:cs="Arial"/>
          <w:bCs/>
        </w:rPr>
        <w:t xml:space="preserve">is </w:t>
      </w:r>
      <w:r>
        <w:rPr>
          <w:rFonts w:ascii="Arial" w:hAnsi="Arial" w:cs="Arial"/>
          <w:bCs/>
        </w:rPr>
        <w:t>a fi</w:t>
      </w:r>
      <w:r w:rsidR="0074683C">
        <w:rPr>
          <w:rFonts w:ascii="Arial" w:hAnsi="Arial" w:cs="Arial"/>
          <w:bCs/>
        </w:rPr>
        <w:t>re suppression system installed</w:t>
      </w:r>
    </w:p>
    <w:p w:rsidR="00601187" w:rsidRDefault="0074683C" w:rsidP="00601187">
      <w:pPr>
        <w:pStyle w:val="ListParagraph"/>
        <w:numPr>
          <w:ilvl w:val="0"/>
          <w:numId w:val="1"/>
        </w:numPr>
        <w:ind w:left="714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 w:rsidR="008403F0">
        <w:rPr>
          <w:rFonts w:ascii="Arial" w:hAnsi="Arial" w:cs="Arial"/>
          <w:bCs/>
        </w:rPr>
        <w:t>f</w:t>
      </w:r>
      <w:r>
        <w:rPr>
          <w:rFonts w:ascii="Arial" w:hAnsi="Arial" w:cs="Arial"/>
          <w:bCs/>
        </w:rPr>
        <w:t xml:space="preserve"> there</w:t>
      </w:r>
      <w:r w:rsidR="008403F0">
        <w:rPr>
          <w:rFonts w:ascii="Arial" w:hAnsi="Arial" w:cs="Arial"/>
          <w:bCs/>
        </w:rPr>
        <w:t xml:space="preserve"> is</w:t>
      </w:r>
      <w:r>
        <w:rPr>
          <w:rFonts w:ascii="Arial" w:hAnsi="Arial" w:cs="Arial"/>
          <w:bCs/>
        </w:rPr>
        <w:t xml:space="preserve"> a gas supply</w:t>
      </w:r>
    </w:p>
    <w:p w:rsidR="00C75F98" w:rsidRDefault="00C75F98" w:rsidP="00601187">
      <w:pPr>
        <w:pStyle w:val="ListParagraph"/>
        <w:numPr>
          <w:ilvl w:val="0"/>
          <w:numId w:val="1"/>
        </w:numPr>
        <w:ind w:left="714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Information provided to residents.</w:t>
      </w:r>
    </w:p>
    <w:p w:rsidR="00C75F98" w:rsidRPr="00432A71" w:rsidRDefault="008403F0" w:rsidP="00432A71">
      <w:pPr>
        <w:pStyle w:val="ListParagraph"/>
        <w:numPr>
          <w:ilvl w:val="0"/>
          <w:numId w:val="1"/>
        </w:numPr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Details of f</w:t>
      </w:r>
      <w:r w:rsidR="0074683C">
        <w:rPr>
          <w:rFonts w:ascii="Arial" w:hAnsi="Arial" w:cs="Arial"/>
          <w:bCs/>
        </w:rPr>
        <w:t>acilities for the fire and rescue service.</w:t>
      </w:r>
      <w:r w:rsidR="00432A71">
        <w:rPr>
          <w:rFonts w:ascii="Arial" w:hAnsi="Arial" w:cs="Arial"/>
          <w:bCs/>
        </w:rPr>
        <w:t xml:space="preserve"> </w:t>
      </w:r>
      <w:r w:rsidRPr="00432A71">
        <w:rPr>
          <w:rFonts w:ascii="Arial" w:hAnsi="Arial" w:cs="Arial"/>
          <w:bCs/>
        </w:rPr>
        <w:t xml:space="preserve">For example, </w:t>
      </w:r>
      <w:r w:rsidR="0074683C" w:rsidRPr="00432A71">
        <w:rPr>
          <w:rFonts w:ascii="Arial" w:hAnsi="Arial" w:cs="Arial"/>
          <w:bCs/>
        </w:rPr>
        <w:t>Firefighter stairs/</w:t>
      </w:r>
      <w:r w:rsidR="0074683C" w:rsidRPr="00432A71">
        <w:rPr>
          <w:rFonts w:cs="Arial"/>
          <w:bCs/>
        </w:rPr>
        <w:t>lifts</w:t>
      </w:r>
      <w:r w:rsidRPr="00432A71">
        <w:rPr>
          <w:rFonts w:cs="Arial"/>
          <w:bCs/>
        </w:rPr>
        <w:t xml:space="preserve">, </w:t>
      </w:r>
      <w:r w:rsidR="0074683C" w:rsidRPr="00432A71">
        <w:rPr>
          <w:rFonts w:ascii="Arial" w:hAnsi="Arial" w:cs="Arial"/>
          <w:bCs/>
        </w:rPr>
        <w:t>Dry/wet risers</w:t>
      </w:r>
      <w:r w:rsidRPr="00432A71">
        <w:rPr>
          <w:rFonts w:ascii="Arial" w:hAnsi="Arial" w:cs="Arial"/>
          <w:bCs/>
        </w:rPr>
        <w:t xml:space="preserve">, </w:t>
      </w:r>
      <w:r w:rsidR="00C75F98" w:rsidRPr="00432A71">
        <w:rPr>
          <w:rFonts w:ascii="Arial" w:hAnsi="Arial" w:cs="Arial"/>
        </w:rPr>
        <w:t>Premises Information Box</w:t>
      </w:r>
      <w:r w:rsidRPr="00432A71">
        <w:rPr>
          <w:rFonts w:ascii="Arial" w:hAnsi="Arial" w:cs="Arial"/>
        </w:rPr>
        <w:t xml:space="preserve">es, </w:t>
      </w:r>
      <w:r w:rsidR="00C75F98" w:rsidRPr="00432A71">
        <w:rPr>
          <w:rFonts w:ascii="Arial" w:hAnsi="Arial" w:cs="Arial"/>
        </w:rPr>
        <w:t>Wayfinding Signage</w:t>
      </w:r>
    </w:p>
    <w:p w:rsidR="006164BA" w:rsidRDefault="006164BA">
      <w:pPr>
        <w:rPr>
          <w:rFonts w:cs="Arial"/>
          <w:bCs/>
        </w:rPr>
      </w:pPr>
      <w:r>
        <w:rPr>
          <w:rFonts w:cs="Arial"/>
          <w:bCs/>
        </w:rPr>
        <w:br w:type="page"/>
      </w:r>
    </w:p>
    <w:p w:rsidR="00601187" w:rsidRDefault="00601187" w:rsidP="00601187">
      <w:pPr>
        <w:jc w:val="both"/>
        <w:rPr>
          <w:rFonts w:cs="Arial"/>
          <w:bCs/>
        </w:rPr>
      </w:pPr>
      <w:r>
        <w:rPr>
          <w:rFonts w:cs="Arial"/>
          <w:bCs/>
        </w:rPr>
        <w:t>We would also like to remind you that</w:t>
      </w:r>
      <w:r w:rsidR="008403F0">
        <w:rPr>
          <w:rFonts w:cs="Arial"/>
          <w:bCs/>
        </w:rPr>
        <w:t xml:space="preserve"> </w:t>
      </w:r>
      <w:r>
        <w:rPr>
          <w:rFonts w:cs="Arial"/>
          <w:bCs/>
        </w:rPr>
        <w:t>as</w:t>
      </w:r>
      <w:r w:rsidR="008403F0">
        <w:rPr>
          <w:rFonts w:cs="Arial"/>
          <w:bCs/>
        </w:rPr>
        <w:t xml:space="preserve"> a</w:t>
      </w:r>
      <w:r>
        <w:rPr>
          <w:rFonts w:cs="Arial"/>
          <w:bCs/>
        </w:rPr>
        <w:t xml:space="preserve"> Responsible Person, you have </w:t>
      </w:r>
      <w:r w:rsidRPr="003154AD">
        <w:rPr>
          <w:rFonts w:cs="Arial"/>
          <w:bCs/>
        </w:rPr>
        <w:t xml:space="preserve">ultimate accountability for managing fire safety measures </w:t>
      </w:r>
      <w:r>
        <w:rPr>
          <w:rFonts w:cs="Arial"/>
          <w:bCs/>
        </w:rPr>
        <w:t>in your</w:t>
      </w:r>
      <w:r w:rsidRPr="003154AD">
        <w:rPr>
          <w:rFonts w:cs="Arial"/>
          <w:bCs/>
        </w:rPr>
        <w:t xml:space="preserve"> building</w:t>
      </w:r>
      <w:r w:rsidR="008403F0">
        <w:rPr>
          <w:rFonts w:cs="Arial"/>
          <w:bCs/>
        </w:rPr>
        <w:t>(</w:t>
      </w:r>
      <w:r w:rsidRPr="003154AD">
        <w:rPr>
          <w:rFonts w:cs="Arial"/>
          <w:bCs/>
        </w:rPr>
        <w:t>s</w:t>
      </w:r>
      <w:r w:rsidR="008403F0">
        <w:rPr>
          <w:rFonts w:cs="Arial"/>
          <w:bCs/>
        </w:rPr>
        <w:t>)</w:t>
      </w:r>
      <w:r>
        <w:rPr>
          <w:rFonts w:cs="Arial"/>
          <w:bCs/>
        </w:rPr>
        <w:t xml:space="preserve">. Please ensure that you are aware of the various factors affecting fire safety in your building/s, that all fire protection and firefighting facilities are properly maintained, and you are complying with the most recent consolidated advice note from the Ministry of Housing, Communities and Local Government – </w:t>
      </w:r>
      <w:hyperlink r:id="rId6" w:history="1">
        <w:r w:rsidRPr="00E651B3">
          <w:rPr>
            <w:rStyle w:val="Hyperlink"/>
            <w:rFonts w:cs="Arial"/>
            <w:bCs/>
          </w:rPr>
          <w:t>Building safety advice for building owners, including fire doors</w:t>
        </w:r>
      </w:hyperlink>
      <w:r>
        <w:rPr>
          <w:rFonts w:cs="Arial"/>
          <w:bCs/>
        </w:rPr>
        <w:t xml:space="preserve"> (published 20</w:t>
      </w:r>
      <w:r w:rsidRPr="007E6C8F">
        <w:rPr>
          <w:rFonts w:cs="Arial"/>
          <w:bCs/>
          <w:vertAlign w:val="superscript"/>
        </w:rPr>
        <w:t>th</w:t>
      </w:r>
      <w:r>
        <w:rPr>
          <w:rFonts w:cs="Arial"/>
          <w:bCs/>
        </w:rPr>
        <w:t xml:space="preserve"> January 2020).</w:t>
      </w:r>
    </w:p>
    <w:p w:rsidR="008A1D43" w:rsidRDefault="008A1D43" w:rsidP="00601187">
      <w:pPr>
        <w:jc w:val="both"/>
        <w:rPr>
          <w:rFonts w:cs="Arial"/>
          <w:bCs/>
        </w:rPr>
      </w:pPr>
    </w:p>
    <w:p w:rsidR="00E55237" w:rsidRPr="00B74A00" w:rsidRDefault="00601187" w:rsidP="00601187">
      <w:pPr>
        <w:rPr>
          <w:rFonts w:cs="Arial"/>
          <w:bCs/>
          <w:color w:val="0000FF" w:themeColor="hyperlink"/>
          <w:u w:val="single"/>
        </w:rPr>
      </w:pPr>
      <w:proofErr w:type="gramStart"/>
      <w:r>
        <w:rPr>
          <w:rFonts w:cs="Arial"/>
          <w:bCs/>
        </w:rPr>
        <w:t>If you have any questions or would like to speak to us further regarding the BRR Programme,</w:t>
      </w:r>
      <w:proofErr w:type="gramEnd"/>
      <w:r>
        <w:rPr>
          <w:rFonts w:cs="Arial"/>
          <w:bCs/>
        </w:rPr>
        <w:t xml:space="preserve"> please contact us via </w:t>
      </w:r>
      <w:r w:rsidR="00E55237">
        <w:rPr>
          <w:rFonts w:cs="Arial"/>
          <w:bCs/>
        </w:rPr>
        <w:t xml:space="preserve">email: </w:t>
      </w:r>
      <w:hyperlink r:id="rId7" w:history="1">
        <w:r w:rsidR="00E55237" w:rsidRPr="0050346E">
          <w:rPr>
            <w:rStyle w:val="Hyperlink"/>
            <w:rFonts w:cs="Arial"/>
            <w:bCs/>
          </w:rPr>
          <w:t>BRRprojectgroup@syfire.gov.uk</w:t>
        </w:r>
      </w:hyperlink>
    </w:p>
    <w:p w:rsidR="00CB4404" w:rsidRDefault="00CB4404" w:rsidP="00CB4404">
      <w:pPr>
        <w:rPr>
          <w:color w:val="000000"/>
        </w:rPr>
      </w:pPr>
    </w:p>
    <w:p w:rsidR="00DE64A6" w:rsidRPr="00DE64A6" w:rsidRDefault="00DE64A6" w:rsidP="008762AD">
      <w:r w:rsidRPr="00DE64A6">
        <w:t>Yours faithfully</w:t>
      </w:r>
    </w:p>
    <w:p w:rsidR="00DE64A6" w:rsidRDefault="00345392" w:rsidP="008762AD">
      <w:pPr>
        <w:rPr>
          <w:rFonts w:cs="Arial"/>
          <w:noProof/>
        </w:rPr>
      </w:pPr>
      <w:r w:rsidRPr="009560F2"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0" locked="0" layoutInCell="1" allowOverlap="1" wp14:anchorId="43116144" wp14:editId="0CCD3869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1724025" cy="59436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5392" w:rsidRDefault="00345392" w:rsidP="008762AD">
      <w:pPr>
        <w:rPr>
          <w:rFonts w:cs="Arial"/>
          <w:noProof/>
        </w:rPr>
      </w:pPr>
    </w:p>
    <w:p w:rsidR="00345392" w:rsidRDefault="00345392" w:rsidP="008762AD">
      <w:pPr>
        <w:rPr>
          <w:rFonts w:cs="Arial"/>
          <w:noProof/>
        </w:rPr>
      </w:pPr>
    </w:p>
    <w:p w:rsidR="00345392" w:rsidRDefault="00345392" w:rsidP="008762AD">
      <w:pPr>
        <w:rPr>
          <w:rFonts w:cs="Arial"/>
          <w:noProof/>
        </w:rPr>
      </w:pPr>
    </w:p>
    <w:p w:rsidR="00345392" w:rsidRPr="00DE64A6" w:rsidRDefault="00345392" w:rsidP="008762AD"/>
    <w:p w:rsidR="00DE64A6" w:rsidRPr="00DE64A6" w:rsidRDefault="00DE64A6" w:rsidP="008762AD">
      <w:r w:rsidRPr="00DE64A6">
        <w:t>Chief Fire Officer</w:t>
      </w:r>
    </w:p>
    <w:p w:rsidR="00DE64A6" w:rsidRDefault="00DE64A6" w:rsidP="008762AD"/>
    <w:p w:rsidR="00DE64A6" w:rsidRDefault="00DE64A6" w:rsidP="00DE64A6">
      <w:pPr>
        <w:rPr>
          <w:b/>
          <w:snapToGrid w:val="0"/>
        </w:rPr>
      </w:pPr>
    </w:p>
    <w:p w:rsidR="00DE64A6" w:rsidRPr="00C20AEF" w:rsidRDefault="00DE64A6" w:rsidP="00DE64A6">
      <w:pPr>
        <w:rPr>
          <w:b/>
          <w:u w:val="single"/>
        </w:rPr>
      </w:pPr>
      <w:r>
        <w:rPr>
          <w:b/>
          <w:snapToGrid w:val="0"/>
        </w:rPr>
        <w:t>Data Protection Act 2018</w:t>
      </w:r>
    </w:p>
    <w:p w:rsidR="00DE64A6" w:rsidRPr="00740B96" w:rsidRDefault="00DE64A6" w:rsidP="00DE64A6">
      <w:pPr>
        <w:rPr>
          <w:snapToGrid w:val="0"/>
        </w:rPr>
      </w:pPr>
      <w:r w:rsidRPr="00740B96">
        <w:rPr>
          <w:snapToGrid w:val="0"/>
        </w:rPr>
        <w:t>Information provided relating to any application made to South Yorkshire Fire &amp; Rescue will be retained and may be used for future enforcement purposes and monitori</w:t>
      </w:r>
      <w:r>
        <w:rPr>
          <w:snapToGrid w:val="0"/>
        </w:rPr>
        <w:t>ng statutory compliance by SYFR</w:t>
      </w:r>
      <w:r w:rsidRPr="00740B96">
        <w:rPr>
          <w:snapToGrid w:val="0"/>
        </w:rPr>
        <w:t xml:space="preserve"> and related enforcement agencies.</w:t>
      </w:r>
    </w:p>
    <w:p w:rsidR="00DE64A6" w:rsidRPr="00740B96" w:rsidRDefault="00DE64A6" w:rsidP="00DE64A6">
      <w:pPr>
        <w:rPr>
          <w:snapToGrid w:val="0"/>
        </w:rPr>
      </w:pPr>
    </w:p>
    <w:p w:rsidR="00DE64A6" w:rsidRDefault="00DE64A6" w:rsidP="00DE64A6">
      <w:pPr>
        <w:rPr>
          <w:snapToGrid w:val="0"/>
        </w:rPr>
      </w:pPr>
      <w:r w:rsidRPr="00740B96">
        <w:rPr>
          <w:snapToGrid w:val="0"/>
        </w:rPr>
        <w:t xml:space="preserve">Disclaimer – Any legal liability howsoever arising from any information contained in this correspondence </w:t>
      </w:r>
      <w:proofErr w:type="gramStart"/>
      <w:r w:rsidRPr="00740B96">
        <w:rPr>
          <w:snapToGrid w:val="0"/>
        </w:rPr>
        <w:t>is hereby excluded</w:t>
      </w:r>
      <w:proofErr w:type="gramEnd"/>
      <w:r w:rsidRPr="00740B96">
        <w:rPr>
          <w:snapToGrid w:val="0"/>
        </w:rPr>
        <w:t>.</w:t>
      </w:r>
    </w:p>
    <w:p w:rsidR="00DE64A6" w:rsidRPr="00DE64A6" w:rsidRDefault="00DE64A6" w:rsidP="008762AD"/>
    <w:p w:rsidR="00CB4404" w:rsidRDefault="00CB4404"/>
    <w:sectPr w:rsidR="00CB4404" w:rsidSect="001D4503">
      <w:type w:val="continuous"/>
      <w:pgSz w:w="11906" w:h="16838" w:code="9"/>
      <w:pgMar w:top="720" w:right="1008" w:bottom="720" w:left="1008" w:header="576" w:footer="576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468B6"/>
    <w:multiLevelType w:val="hybridMultilevel"/>
    <w:tmpl w:val="29C60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3B"/>
    <w:rsid w:val="00001AEE"/>
    <w:rsid w:val="000553A5"/>
    <w:rsid w:val="00057681"/>
    <w:rsid w:val="00073D88"/>
    <w:rsid w:val="00085534"/>
    <w:rsid w:val="00097B06"/>
    <w:rsid w:val="000D6953"/>
    <w:rsid w:val="0017558B"/>
    <w:rsid w:val="001D4503"/>
    <w:rsid w:val="001E1489"/>
    <w:rsid w:val="00225A01"/>
    <w:rsid w:val="00234F48"/>
    <w:rsid w:val="00254B2C"/>
    <w:rsid w:val="0025509A"/>
    <w:rsid w:val="002E3082"/>
    <w:rsid w:val="00306216"/>
    <w:rsid w:val="00337F6F"/>
    <w:rsid w:val="0034143B"/>
    <w:rsid w:val="00345392"/>
    <w:rsid w:val="00397F43"/>
    <w:rsid w:val="003F5F99"/>
    <w:rsid w:val="00423468"/>
    <w:rsid w:val="00432A71"/>
    <w:rsid w:val="00450B2E"/>
    <w:rsid w:val="004767E2"/>
    <w:rsid w:val="0048605C"/>
    <w:rsid w:val="004917B5"/>
    <w:rsid w:val="004D0BDA"/>
    <w:rsid w:val="004E1DBB"/>
    <w:rsid w:val="00575C5C"/>
    <w:rsid w:val="0058138D"/>
    <w:rsid w:val="005B5A2B"/>
    <w:rsid w:val="005C547C"/>
    <w:rsid w:val="00601187"/>
    <w:rsid w:val="00612623"/>
    <w:rsid w:val="006164BA"/>
    <w:rsid w:val="0063024E"/>
    <w:rsid w:val="00667A99"/>
    <w:rsid w:val="006A212F"/>
    <w:rsid w:val="006E3067"/>
    <w:rsid w:val="007424AA"/>
    <w:rsid w:val="0074683C"/>
    <w:rsid w:val="00753A2A"/>
    <w:rsid w:val="007629D5"/>
    <w:rsid w:val="007A217B"/>
    <w:rsid w:val="007F2AA7"/>
    <w:rsid w:val="008059CB"/>
    <w:rsid w:val="00810882"/>
    <w:rsid w:val="00817D8D"/>
    <w:rsid w:val="008403F0"/>
    <w:rsid w:val="008725B5"/>
    <w:rsid w:val="00882571"/>
    <w:rsid w:val="008A1D43"/>
    <w:rsid w:val="008B3336"/>
    <w:rsid w:val="008C3D21"/>
    <w:rsid w:val="008C71C1"/>
    <w:rsid w:val="0090371A"/>
    <w:rsid w:val="0095019C"/>
    <w:rsid w:val="009623D9"/>
    <w:rsid w:val="009C6726"/>
    <w:rsid w:val="00A4578F"/>
    <w:rsid w:val="00A559C4"/>
    <w:rsid w:val="00A8482E"/>
    <w:rsid w:val="00A96D5E"/>
    <w:rsid w:val="00AC0D05"/>
    <w:rsid w:val="00AD224B"/>
    <w:rsid w:val="00AD5621"/>
    <w:rsid w:val="00B74A00"/>
    <w:rsid w:val="00B751C2"/>
    <w:rsid w:val="00B8176B"/>
    <w:rsid w:val="00B9247C"/>
    <w:rsid w:val="00BB660E"/>
    <w:rsid w:val="00C013BF"/>
    <w:rsid w:val="00C11542"/>
    <w:rsid w:val="00C279E0"/>
    <w:rsid w:val="00C3089B"/>
    <w:rsid w:val="00C533DE"/>
    <w:rsid w:val="00C70C4F"/>
    <w:rsid w:val="00C75F98"/>
    <w:rsid w:val="00CB3369"/>
    <w:rsid w:val="00CB4404"/>
    <w:rsid w:val="00CB59FD"/>
    <w:rsid w:val="00CC5A80"/>
    <w:rsid w:val="00CF4BB2"/>
    <w:rsid w:val="00D403C7"/>
    <w:rsid w:val="00D45815"/>
    <w:rsid w:val="00D54C00"/>
    <w:rsid w:val="00D64B3B"/>
    <w:rsid w:val="00D90DC0"/>
    <w:rsid w:val="00DC5CFF"/>
    <w:rsid w:val="00DE0BB7"/>
    <w:rsid w:val="00DE64A6"/>
    <w:rsid w:val="00E1021B"/>
    <w:rsid w:val="00E55237"/>
    <w:rsid w:val="00EA0137"/>
    <w:rsid w:val="00EB0F89"/>
    <w:rsid w:val="00F72786"/>
    <w:rsid w:val="00FB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61572B0B-DF08-4242-A70F-7CCA3C1C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F6F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7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02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21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11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yperlink">
    <w:name w:val="Hyperlink"/>
    <w:basedOn w:val="DefaultParagraphFont"/>
    <w:uiPriority w:val="99"/>
    <w:unhideWhenUsed/>
    <w:rsid w:val="006011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BRRprojectgroup@syfire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v.uk/government/publications/building-safety-advice-for-building-owners-including-fire-doo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9D243-AE94-4A8A-95F4-61FE84BBC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Letterhead Sheffield Technical Fire Safety - February 2012</vt:lpstr>
    </vt:vector>
  </TitlesOfParts>
  <Company>syfrs</Company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Letterhead Sheffield Technical Fire Safety - February 2012</dc:title>
  <dc:subject/>
  <dc:creator>Jenkinson Amy</dc:creator>
  <cp:keywords/>
  <dc:description/>
  <cp:lastModifiedBy>Hinchliffe Katrina</cp:lastModifiedBy>
  <cp:revision>3</cp:revision>
  <cp:lastPrinted>2020-02-04T13:50:00Z</cp:lastPrinted>
  <dcterms:created xsi:type="dcterms:W3CDTF">2020-11-24T12:13:00Z</dcterms:created>
  <dcterms:modified xsi:type="dcterms:W3CDTF">2020-11-24T12:13:00Z</dcterms:modified>
</cp:coreProperties>
</file>