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7D0F9710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31 October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47"/>
        <w:gridCol w:w="1745"/>
        <w:gridCol w:w="1750"/>
        <w:gridCol w:w="1743"/>
        <w:gridCol w:w="1741"/>
        <w:gridCol w:w="1742"/>
        <w:gridCol w:w="1741"/>
      </w:tblGrid>
      <w:tr w:rsidR="00FC6F85" w:rsidRPr="005866A7" w14:paraId="7F357534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FC6F85" w:rsidRPr="005866A7" w14:paraId="0A673BB1" w14:textId="77777777" w:rsidTr="00AE0C42">
        <w:trPr>
          <w:trHeight w:val="214"/>
        </w:trPr>
        <w:tc>
          <w:tcPr>
            <w:tcW w:w="1771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71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FC6F85" w:rsidRPr="005866A7" w14:paraId="6BA97555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71" w:type="dxa"/>
          </w:tcPr>
          <w:p w14:paraId="3262A19F" w14:textId="2BA3F3E6" w:rsidR="00843821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A largely dry but breezy day is expected on Monday. Cloudy at first, especially over hills, sunny intervals elsewhere, especially during the afternoon. Still quite mild. Maximum temperature 16 °C.</w:t>
            </w:r>
          </w:p>
        </w:tc>
        <w:tc>
          <w:tcPr>
            <w:tcW w:w="1772" w:type="dxa"/>
          </w:tcPr>
          <w:p w14:paraId="0CDF1360" w14:textId="54D65BF2" w:rsidR="00CF4085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Heavy overnight rain will quickly clear eastwards leaving a windy day, with scattered blustery showers, especially over the Derbyshire hills, as well as some dry brighter spells, especially further east. Maximum temperature 14 °C.</w:t>
            </w:r>
          </w:p>
        </w:tc>
        <w:tc>
          <w:tcPr>
            <w:tcW w:w="1772" w:type="dxa"/>
          </w:tcPr>
          <w:p w14:paraId="64F70FB5" w14:textId="79A167CC" w:rsidR="00CF4085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Strong winds probable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, </w:t>
            </w: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with gales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  <w:r w:rsidR="00A07855">
              <w:rPr>
                <w:rFonts w:eastAsiaTheme="minorHAnsi" w:cs="Arial"/>
                <w:sz w:val="16"/>
                <w:szCs w:val="18"/>
                <w:lang w:eastAsia="en-US"/>
              </w:rPr>
              <w:t xml:space="preserve"> Showers possible from mid-afternoon into the evening.</w:t>
            </w:r>
          </w:p>
        </w:tc>
        <w:tc>
          <w:tcPr>
            <w:tcW w:w="1772" w:type="dxa"/>
          </w:tcPr>
          <w:p w14:paraId="752277AE" w14:textId="772CC811" w:rsidR="00CF4085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Strong winds probable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1772" w:type="dxa"/>
          </w:tcPr>
          <w:p w14:paraId="465641C0" w14:textId="69EE0FE1" w:rsidR="00CF4085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Strong winds probable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1772" w:type="dxa"/>
          </w:tcPr>
          <w:p w14:paraId="7625402F" w14:textId="031A6D3C" w:rsidR="00843821" w:rsidRPr="00142C54" w:rsidRDefault="00AF723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throughout.</w:t>
            </w:r>
            <w:r w:rsidR="00A07855"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  <w:r w:rsidR="00A07855" w:rsidRPr="00C3334E">
              <w:rPr>
                <w:rFonts w:eastAsiaTheme="minorHAnsi" w:cs="Arial"/>
                <w:sz w:val="16"/>
                <w:szCs w:val="18"/>
                <w:lang w:eastAsia="en-US"/>
              </w:rPr>
              <w:t>Unsettled, with sometimes heavy showers or longer spells of rain.</w:t>
            </w:r>
          </w:p>
        </w:tc>
        <w:tc>
          <w:tcPr>
            <w:tcW w:w="1772" w:type="dxa"/>
          </w:tcPr>
          <w:p w14:paraId="0E1C3853" w14:textId="3CE05E02" w:rsidR="00843821" w:rsidRPr="00142C54" w:rsidRDefault="00AF7237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start, fine mid-afternoon. Clear evening. </w:t>
            </w:r>
          </w:p>
        </w:tc>
      </w:tr>
      <w:tr w:rsidR="00FC6F85" w:rsidRPr="005866A7" w14:paraId="14F28C34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5F072C0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</w:tc>
        <w:tc>
          <w:tcPr>
            <w:tcW w:w="1771" w:type="dxa"/>
          </w:tcPr>
          <w:p w14:paraId="3130BC9F" w14:textId="63436415" w:rsidR="00843821" w:rsidRPr="00142C54" w:rsidRDefault="00C3334E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</w:t>
            </w: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outh-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ea</w:t>
            </w:r>
            <w:r w:rsidRPr="00C3334E">
              <w:rPr>
                <w:rFonts w:eastAsiaTheme="minorHAnsi" w:cs="Arial"/>
                <w:sz w:val="16"/>
                <w:szCs w:val="18"/>
                <w:lang w:eastAsia="en-US"/>
              </w:rPr>
              <w:t>sterly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winds in the afternoon, turning east south-easternly in the evening, 9-11mph.Gusts </w:t>
            </w:r>
            <w:r w:rsidR="00FC6F85">
              <w:rPr>
                <w:rFonts w:eastAsiaTheme="minorHAnsi" w:cs="Arial"/>
                <w:sz w:val="16"/>
                <w:szCs w:val="18"/>
                <w:lang w:eastAsia="en-US"/>
              </w:rPr>
              <w:t>19mph. Overnight into the early morning, south easterly 8-9mph winds, with gusts 9mph.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 </w:t>
            </w:r>
          </w:p>
        </w:tc>
        <w:tc>
          <w:tcPr>
            <w:tcW w:w="1772" w:type="dxa"/>
          </w:tcPr>
          <w:p w14:paraId="2806074D" w14:textId="76FD8698" w:rsidR="004954C8" w:rsidRDefault="00FC6F8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Early morning west south-westerly winds 15-17mph, with gusts 30mph</w:t>
            </w:r>
            <w:r w:rsidR="004E1B05">
              <w:rPr>
                <w:rFonts w:eastAsiaTheme="minorHAnsi" w:cs="Arial"/>
                <w:sz w:val="16"/>
                <w:szCs w:val="18"/>
                <w:lang w:eastAsia="en-US"/>
              </w:rPr>
              <w:t>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From around 9am until mid-afternoon south westerly winds 12-16mph, with 29mph gusts. Afternoon, south south-westerly turning south-westerly </w:t>
            </w:r>
            <w:r w:rsidR="001B73D4">
              <w:rPr>
                <w:rFonts w:eastAsiaTheme="minorHAnsi" w:cs="Arial"/>
                <w:sz w:val="16"/>
                <w:szCs w:val="18"/>
                <w:lang w:eastAsia="en-US"/>
              </w:rPr>
              <w:t xml:space="preserve">during the night 10-12mph, gusts 22mph. 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  <w:p w14:paraId="29CD2CBE" w14:textId="77777777" w:rsidR="004954C8" w:rsidRDefault="004954C8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13186235" w:rsidR="00843821" w:rsidRPr="00142C54" w:rsidRDefault="0084382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42D62CED" w14:textId="6F946734" w:rsidR="00843821" w:rsidRPr="00142C54" w:rsidRDefault="001B73D4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south-westerly, turning South around midday, 11-19mph, gusts 34mph. From mid-afternoon continuing into the evening, South south-westerly 21-23mph, with gusts 43mph. From night into the early morning south-westerly 12-17mph, with 32</w:t>
            </w:r>
            <w:r w:rsidR="00565525">
              <w:rPr>
                <w:rFonts w:eastAsiaTheme="minorHAnsi" w:cs="Arial"/>
                <w:sz w:val="16"/>
                <w:szCs w:val="18"/>
                <w:lang w:eastAsia="en-US"/>
              </w:rPr>
              <w:t>mph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gusts</w:t>
            </w:r>
          </w:p>
        </w:tc>
        <w:tc>
          <w:tcPr>
            <w:tcW w:w="1772" w:type="dxa"/>
          </w:tcPr>
          <w:p w14:paraId="2D865152" w14:textId="1B84BFDA" w:rsidR="00843821" w:rsidRPr="00142C54" w:rsidRDefault="0056552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south-westerly winds 9-10mph, gusts 18mph in the morning. At midday turning south-westerly, winds around 9mph, with 17 gusts. </w:t>
            </w:r>
            <w:r w:rsidR="003E645E">
              <w:rPr>
                <w:rFonts w:eastAsiaTheme="minorHAnsi" w:cs="Arial"/>
                <w:sz w:val="16"/>
                <w:szCs w:val="18"/>
                <w:lang w:eastAsia="en-US"/>
              </w:rPr>
              <w:t>M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id-afternoon turning West south-westerly, 7mph winds, 14mph gusts. Westerly wind in the evening, continuing overnight, 7-10mph with 19mph gusts.   </w:t>
            </w:r>
          </w:p>
        </w:tc>
        <w:tc>
          <w:tcPr>
            <w:tcW w:w="1772" w:type="dxa"/>
          </w:tcPr>
          <w:p w14:paraId="14EA8CBC" w14:textId="61AA7062" w:rsidR="00843821" w:rsidRPr="00142C54" w:rsidRDefault="00A0785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Westerly winds for the majority of the da until the early evening, 10-12mph with 26mph gusts. Then turning West south-westerly for the remainder of the evening into the night, 10-11mph, with gusts 21mph.</w:t>
            </w:r>
          </w:p>
        </w:tc>
        <w:tc>
          <w:tcPr>
            <w:tcW w:w="1772" w:type="dxa"/>
          </w:tcPr>
          <w:p w14:paraId="0525C8E4" w14:textId="62771127" w:rsidR="00843821" w:rsidRPr="00142C54" w:rsidRDefault="00A0785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for the majority od the day, 10-13mph, with 25mph gusts. Turing south-westerly in the evening, continuing overnight 11mph winds with 22mph gusts.</w:t>
            </w:r>
          </w:p>
        </w:tc>
        <w:tc>
          <w:tcPr>
            <w:tcW w:w="1772" w:type="dxa"/>
          </w:tcPr>
          <w:p w14:paraId="159875F9" w14:textId="5989E27A" w:rsidR="00843821" w:rsidRPr="00142C54" w:rsidRDefault="00A0785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South-westerly winds throughout the day, continuing into the night, 12-18mph, with </w:t>
            </w:r>
            <w:r w:rsidR="003E645E">
              <w:rPr>
                <w:rFonts w:eastAsiaTheme="minorHAnsi" w:cs="Arial"/>
                <w:sz w:val="16"/>
                <w:szCs w:val="18"/>
                <w:lang w:eastAsia="en-US"/>
              </w:rPr>
              <w:t>33mph gusts.</w:t>
            </w:r>
          </w:p>
        </w:tc>
      </w:tr>
      <w:tr w:rsidR="00843821" w:rsidRPr="005866A7" w14:paraId="76627EEB" w14:textId="77777777" w:rsidTr="00AE0C42">
        <w:tc>
          <w:tcPr>
            <w:tcW w:w="14174" w:type="dxa"/>
            <w:gridSpan w:val="8"/>
          </w:tcPr>
          <w:p w14:paraId="37F969F4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58D26C75" w14:textId="77777777" w:rsidTr="00AE0C42">
        <w:tc>
          <w:tcPr>
            <w:tcW w:w="1771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403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C6F85" w:rsidRPr="005866A7" w14:paraId="754413CA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lastRenderedPageBreak/>
              <w:t>North</w:t>
            </w:r>
          </w:p>
        </w:tc>
        <w:tc>
          <w:tcPr>
            <w:tcW w:w="1771" w:type="dxa"/>
          </w:tcPr>
          <w:p w14:paraId="24A4F07E" w14:textId="30FDD113" w:rsidR="004F1CC5" w:rsidRPr="00962EE2" w:rsidRDefault="003E645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66AAE265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44BC279D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01489399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5852F4BA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01835A7E" w14:textId="3E72408F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27334753" w14:textId="40237402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FC6F85" w:rsidRPr="005866A7" w14:paraId="5A5FF4C2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71" w:type="dxa"/>
          </w:tcPr>
          <w:p w14:paraId="689D2C3D" w14:textId="3170E4E1" w:rsidR="004F1CC5" w:rsidRPr="00962EE2" w:rsidRDefault="003E645E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70B6FF77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37737A3B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642508F7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7BD5DC45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56703C86" w14:textId="0C3B4300" w:rsidR="004F1CC5" w:rsidRPr="00142C54" w:rsidRDefault="003E645E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2ACECB74" w14:textId="7032B254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FC6F85" w:rsidRPr="005866A7" w14:paraId="13C97DA6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71" w:type="dxa"/>
          </w:tcPr>
          <w:p w14:paraId="0EEC9607" w14:textId="24B3DFE5" w:rsidR="004F1CC5" w:rsidRPr="00962EE2" w:rsidRDefault="003E645E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254439AD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45655EFD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5CF9F224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7BCB2DEF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3CAE2861" w14:textId="1ABD1A45" w:rsidR="004F1CC5" w:rsidRPr="00142C54" w:rsidRDefault="0096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004FE324" w14:textId="5A720D6F" w:rsidR="004F1CC5" w:rsidRPr="00142C54" w:rsidRDefault="0096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FC6F85" w:rsidRPr="005866A7" w14:paraId="75EECD6E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71" w:type="dxa"/>
          </w:tcPr>
          <w:p w14:paraId="1B474BDE" w14:textId="679BD135" w:rsidR="004F1CC5" w:rsidRPr="00962EE2" w:rsidRDefault="003E645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19364823" w14:textId="71D4CFF8" w:rsidR="004F1CC5" w:rsidRPr="00962EE2" w:rsidRDefault="003E645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527A1AF0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31685A2E" w14:textId="584DC33A" w:rsidR="004F1CC5" w:rsidRPr="00962EE2" w:rsidRDefault="003E645E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0B586D42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5A642895" w14:textId="72257E2E" w:rsidR="004F1CC5" w:rsidRPr="00142C54" w:rsidRDefault="003E645E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4F75D164" w14:textId="02DFA9EC" w:rsidR="004F1CC5" w:rsidRPr="00142C54" w:rsidRDefault="0096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AE0C42">
        <w:tc>
          <w:tcPr>
            <w:tcW w:w="14174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403" w:type="dxa"/>
            <w:gridSpan w:val="7"/>
            <w:tcBorders>
              <w:top w:val="nil"/>
            </w:tcBorders>
          </w:tcPr>
          <w:p w14:paraId="164B9BDA" w14:textId="77777777" w:rsidR="00395990" w:rsidRPr="00395990" w:rsidRDefault="00395990" w:rsidP="00395990">
            <w:pPr>
              <w:pStyle w:val="ListParagraph"/>
              <w:contextualSpacing w:val="0"/>
              <w:rPr>
                <w:rFonts w:ascii="Calibri" w:hAnsi="Calibri"/>
                <w:sz w:val="20"/>
              </w:rPr>
            </w:pPr>
          </w:p>
          <w:p w14:paraId="6A4AFE2E" w14:textId="1A1E450C" w:rsidR="00395990" w:rsidRPr="00395990" w:rsidRDefault="00395990" w:rsidP="0039599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</w:rPr>
            </w:pPr>
            <w:r w:rsidRPr="00395990">
              <w:rPr>
                <w:sz w:val="20"/>
              </w:rPr>
              <w:t>Working in conjunction with the EA, fire crews have extinguished a significant area of smouldering waste to the South Side</w:t>
            </w:r>
          </w:p>
          <w:p w14:paraId="5A061841" w14:textId="77777777" w:rsidR="00395990" w:rsidRPr="00395990" w:rsidRDefault="00395990" w:rsidP="0039599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0"/>
              </w:rPr>
            </w:pPr>
            <w:r w:rsidRPr="00395990">
              <w:rPr>
                <w:sz w:val="20"/>
              </w:rPr>
              <w:t>Due to the prevailing winds, the smoke from this area was making it difficult for firefighters to work safely on the North Side</w:t>
            </w:r>
          </w:p>
          <w:p w14:paraId="36DD64E2" w14:textId="77777777" w:rsidR="00395990" w:rsidRPr="00395990" w:rsidRDefault="00395990" w:rsidP="0039599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0"/>
              </w:rPr>
            </w:pPr>
            <w:r w:rsidRPr="00395990">
              <w:rPr>
                <w:sz w:val="20"/>
              </w:rPr>
              <w:t>Now it is extinguished it has allowed firefighters to move to the North side of the building and start attacking the larger pile</w:t>
            </w:r>
          </w:p>
          <w:p w14:paraId="3CC9B3FA" w14:textId="2C18AC4E" w:rsidR="00843821" w:rsidRPr="00395990" w:rsidRDefault="00395990" w:rsidP="00AE0C4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0"/>
              </w:rPr>
            </w:pPr>
            <w:r w:rsidRPr="00395990">
              <w:rPr>
                <w:sz w:val="20"/>
              </w:rPr>
              <w:t>These tactics are in place to get the maximum reduction in smoke leaving the site</w:t>
            </w:r>
          </w:p>
          <w:p w14:paraId="210A424F" w14:textId="77777777" w:rsidR="00843821" w:rsidRPr="00395990" w:rsidRDefault="00843821" w:rsidP="00AE0C42">
            <w:pPr>
              <w:rPr>
                <w:rFonts w:eastAsiaTheme="minorHAnsi" w:cs="Arial"/>
                <w:sz w:val="20"/>
                <w:lang w:eastAsia="en-US"/>
              </w:rPr>
            </w:pPr>
          </w:p>
        </w:tc>
      </w:tr>
      <w:tr w:rsidR="00843821" w:rsidRPr="005866A7" w14:paraId="15E30230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403" w:type="dxa"/>
            <w:gridSpan w:val="7"/>
          </w:tcPr>
          <w:p w14:paraId="313010D3" w14:textId="77777777" w:rsidR="00395990" w:rsidRPr="00395990" w:rsidRDefault="00395990" w:rsidP="00395990">
            <w:pPr>
              <w:pStyle w:val="ListParagraph"/>
              <w:contextualSpacing w:val="0"/>
              <w:rPr>
                <w:rFonts w:ascii="Calibri" w:hAnsi="Calibri"/>
                <w:sz w:val="20"/>
              </w:rPr>
            </w:pPr>
          </w:p>
          <w:p w14:paraId="091A1C5A" w14:textId="0E229524" w:rsidR="00395990" w:rsidRPr="00395990" w:rsidRDefault="00395990" w:rsidP="0039599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Partners</w:t>
            </w:r>
            <w:bookmarkStart w:id="0" w:name="_GoBack"/>
            <w:bookmarkEnd w:id="0"/>
            <w:r w:rsidRPr="00395990">
              <w:rPr>
                <w:sz w:val="20"/>
              </w:rPr>
              <w:t xml:space="preserve"> will continue with this approach until all visible smoke/fire has been extinguished</w:t>
            </w:r>
          </w:p>
          <w:p w14:paraId="49BE6589" w14:textId="77777777" w:rsidR="00395990" w:rsidRPr="00395990" w:rsidRDefault="00395990" w:rsidP="0039599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0"/>
              </w:rPr>
            </w:pPr>
            <w:r w:rsidRPr="00395990">
              <w:rPr>
                <w:sz w:val="20"/>
              </w:rPr>
              <w:t>We will then plan to excavate any unburned waste to ensure there are no hidden hot spots and prevent future re-ignition</w:t>
            </w:r>
          </w:p>
          <w:p w14:paraId="7DC1FBBA" w14:textId="77777777" w:rsidR="00843821" w:rsidRPr="00395990" w:rsidRDefault="00843821" w:rsidP="00AE0C42">
            <w:pPr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6801"/>
    <w:multiLevelType w:val="hybridMultilevel"/>
    <w:tmpl w:val="7DF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142C54"/>
    <w:rsid w:val="001B73D4"/>
    <w:rsid w:val="00255C68"/>
    <w:rsid w:val="00377DEC"/>
    <w:rsid w:val="00395990"/>
    <w:rsid w:val="003C7E19"/>
    <w:rsid w:val="003E645E"/>
    <w:rsid w:val="004672AF"/>
    <w:rsid w:val="004954C8"/>
    <w:rsid w:val="004E1B05"/>
    <w:rsid w:val="004F1CC5"/>
    <w:rsid w:val="0054549D"/>
    <w:rsid w:val="00565525"/>
    <w:rsid w:val="005842F2"/>
    <w:rsid w:val="00607CD8"/>
    <w:rsid w:val="00745B26"/>
    <w:rsid w:val="00843821"/>
    <w:rsid w:val="00874BC0"/>
    <w:rsid w:val="0087593B"/>
    <w:rsid w:val="00962EE2"/>
    <w:rsid w:val="00A07855"/>
    <w:rsid w:val="00AE2C80"/>
    <w:rsid w:val="00AF7237"/>
    <w:rsid w:val="00BB0FB7"/>
    <w:rsid w:val="00C1117D"/>
    <w:rsid w:val="00C3334E"/>
    <w:rsid w:val="00C67301"/>
    <w:rsid w:val="00C82FD2"/>
    <w:rsid w:val="00CA4336"/>
    <w:rsid w:val="00CF4085"/>
    <w:rsid w:val="00CF73B8"/>
    <w:rsid w:val="00DD0CCE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Mills Zander</cp:lastModifiedBy>
  <cp:revision>2</cp:revision>
  <dcterms:created xsi:type="dcterms:W3CDTF">2022-11-03T13:16:00Z</dcterms:created>
  <dcterms:modified xsi:type="dcterms:W3CDTF">2022-11-03T13:16:00Z</dcterms:modified>
</cp:coreProperties>
</file>