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BD" w:rsidRPr="00363805" w:rsidRDefault="00C727BD" w:rsidP="00C727BD">
      <w:pPr>
        <w:spacing w:after="0" w:line="480" w:lineRule="auto"/>
        <w:rPr>
          <w:rFonts w:ascii="Verdana" w:hAnsi="Verdana"/>
          <w:b/>
          <w:noProof/>
          <w:sz w:val="24"/>
          <w:szCs w:val="24"/>
          <w:lang w:eastAsia="en-GB"/>
        </w:rPr>
      </w:pPr>
      <w:bookmarkStart w:id="0" w:name="_GoBack"/>
      <w:bookmarkEnd w:id="0"/>
      <w:r w:rsidRPr="00363805">
        <w:rPr>
          <w:rFonts w:ascii="Verdana" w:hAnsi="Verdana"/>
          <w:b/>
          <w:noProof/>
          <w:sz w:val="24"/>
          <w:szCs w:val="24"/>
          <w:lang w:eastAsia="en-GB"/>
        </w:rPr>
        <w:t xml:space="preserve">Equality Diversity &amp; Inclusion Strategy – </w:t>
      </w:r>
      <w:r>
        <w:rPr>
          <w:rFonts w:ascii="Verdana" w:hAnsi="Verdana"/>
          <w:b/>
          <w:noProof/>
          <w:sz w:val="24"/>
          <w:szCs w:val="24"/>
          <w:lang w:eastAsia="en-GB"/>
        </w:rPr>
        <w:t xml:space="preserve">Interim arrangements for the remainder of </w:t>
      </w:r>
      <w:r w:rsidRPr="00363805">
        <w:rPr>
          <w:rFonts w:ascii="Verdana" w:hAnsi="Verdana"/>
          <w:b/>
          <w:noProof/>
          <w:sz w:val="24"/>
          <w:szCs w:val="24"/>
          <w:lang w:eastAsia="en-GB"/>
        </w:rPr>
        <w:t>2022</w:t>
      </w:r>
    </w:p>
    <w:p w:rsidR="00C727BD" w:rsidRPr="00363805" w:rsidRDefault="00C727BD" w:rsidP="00C727BD">
      <w:pPr>
        <w:spacing w:after="0" w:line="480" w:lineRule="auto"/>
        <w:rPr>
          <w:rFonts w:ascii="Verdana" w:hAnsi="Verdana"/>
          <w:noProof/>
          <w:sz w:val="24"/>
          <w:szCs w:val="24"/>
          <w:lang w:eastAsia="en-GB"/>
        </w:rPr>
      </w:pPr>
    </w:p>
    <w:p w:rsidR="00C727BD" w:rsidRPr="00363805" w:rsidRDefault="00C727BD" w:rsidP="00C727BD">
      <w:pPr>
        <w:spacing w:after="0" w:line="480" w:lineRule="auto"/>
        <w:rPr>
          <w:rFonts w:ascii="Verdana" w:hAnsi="Verdana"/>
          <w:b/>
          <w:noProof/>
          <w:sz w:val="24"/>
          <w:szCs w:val="24"/>
          <w:lang w:eastAsia="en-GB"/>
        </w:rPr>
      </w:pPr>
      <w:r w:rsidRPr="00363805">
        <w:rPr>
          <w:rFonts w:ascii="Verdana" w:hAnsi="Verdana"/>
          <w:b/>
          <w:noProof/>
          <w:sz w:val="24"/>
          <w:szCs w:val="24"/>
          <w:lang w:eastAsia="en-GB"/>
        </w:rPr>
        <w:t>Introduction</w:t>
      </w:r>
    </w:p>
    <w:p w:rsidR="00C727BD" w:rsidRPr="00363805" w:rsidRDefault="00C727BD" w:rsidP="00C727BD">
      <w:pPr>
        <w:pStyle w:val="Default"/>
        <w:spacing w:line="480" w:lineRule="auto"/>
        <w:rPr>
          <w:rFonts w:ascii="Verdana" w:hAnsi="Verdana"/>
        </w:rPr>
      </w:pPr>
      <w:r w:rsidRPr="00363805">
        <w:rPr>
          <w:rFonts w:ascii="Verdana" w:hAnsi="Verdana"/>
        </w:rPr>
        <w:t>Our EDI Strategy for 2019-2022 set out our plans to embed EDI into everything we do for the staff working for us and for the communities we serve across South Yorkshire; stating our understanding that the principles of EDI are integral to keeping our communities safer and stronger.</w:t>
      </w:r>
    </w:p>
    <w:p w:rsidR="00C727BD" w:rsidRPr="00363805" w:rsidRDefault="00C727BD" w:rsidP="00C727BD">
      <w:pPr>
        <w:pStyle w:val="Default"/>
        <w:spacing w:line="480" w:lineRule="auto"/>
        <w:rPr>
          <w:rFonts w:ascii="Verdana" w:hAnsi="Verdana"/>
        </w:rPr>
      </w:pPr>
      <w:r w:rsidRPr="00363805">
        <w:rPr>
          <w:rFonts w:ascii="Verdana" w:hAnsi="Verdana"/>
          <w:noProof/>
          <w:lang w:eastAsia="en-GB"/>
        </w:rPr>
        <w:drawing>
          <wp:anchor distT="0" distB="0" distL="114300" distR="114300" simplePos="0" relativeHeight="251660288" behindDoc="1" locked="0" layoutInCell="1" allowOverlap="1" wp14:anchorId="581CB014" wp14:editId="5F9BE2BB">
            <wp:simplePos x="0" y="0"/>
            <wp:positionH relativeFrom="column">
              <wp:posOffset>0</wp:posOffset>
            </wp:positionH>
            <wp:positionV relativeFrom="paragraph">
              <wp:posOffset>303530</wp:posOffset>
            </wp:positionV>
            <wp:extent cx="1474470" cy="1225359"/>
            <wp:effectExtent l="0" t="0" r="0" b="0"/>
            <wp:wrapTight wrapText="bothSides">
              <wp:wrapPolygon edited="0">
                <wp:start x="0" y="0"/>
                <wp:lineTo x="0" y="21163"/>
                <wp:lineTo x="21209" y="21163"/>
                <wp:lineTo x="212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470" cy="1225359"/>
                    </a:xfrm>
                    <a:prstGeom prst="rect">
                      <a:avLst/>
                    </a:prstGeom>
                  </pic:spPr>
                </pic:pic>
              </a:graphicData>
            </a:graphic>
          </wp:anchor>
        </w:drawing>
      </w:r>
    </w:p>
    <w:p w:rsidR="00C727BD" w:rsidRPr="00363805" w:rsidRDefault="00C727BD" w:rsidP="00C727BD">
      <w:pPr>
        <w:pStyle w:val="Default"/>
        <w:spacing w:line="480" w:lineRule="auto"/>
        <w:rPr>
          <w:rFonts w:ascii="Verdana" w:hAnsi="Verdana"/>
        </w:rPr>
      </w:pPr>
      <w:r w:rsidRPr="00363805">
        <w:rPr>
          <w:rFonts w:ascii="Verdana" w:hAnsi="Verdana"/>
        </w:rPr>
        <w:t xml:space="preserve">This strategy </w:t>
      </w:r>
      <w:r>
        <w:rPr>
          <w:rFonts w:ascii="Verdana" w:hAnsi="Verdana"/>
        </w:rPr>
        <w:t>has been</w:t>
      </w:r>
      <w:r w:rsidRPr="00363805">
        <w:rPr>
          <w:rFonts w:ascii="Verdana" w:hAnsi="Verdana"/>
        </w:rPr>
        <w:t xml:space="preserve"> supported by an action plan against our 5 objectives, and </w:t>
      </w:r>
      <w:r>
        <w:rPr>
          <w:rFonts w:ascii="Verdana" w:hAnsi="Verdana"/>
        </w:rPr>
        <w:t>is</w:t>
      </w:r>
      <w:r w:rsidRPr="00363805">
        <w:rPr>
          <w:rFonts w:ascii="Verdana" w:hAnsi="Verdana"/>
        </w:rPr>
        <w:t xml:space="preserve"> regularly updated and monitored.</w:t>
      </w:r>
    </w:p>
    <w:p w:rsidR="00C727BD" w:rsidRPr="00363805" w:rsidRDefault="00C727BD" w:rsidP="00C727BD">
      <w:pPr>
        <w:pStyle w:val="Default"/>
        <w:spacing w:line="480" w:lineRule="auto"/>
        <w:rPr>
          <w:rFonts w:ascii="Verdana" w:hAnsi="Verdana"/>
        </w:rPr>
      </w:pPr>
    </w:p>
    <w:p w:rsidR="00C727BD" w:rsidRPr="00363805" w:rsidRDefault="00C727BD" w:rsidP="00C727BD">
      <w:pPr>
        <w:pStyle w:val="Default"/>
        <w:spacing w:line="480" w:lineRule="auto"/>
        <w:rPr>
          <w:rFonts w:ascii="Verdana" w:hAnsi="Verdana"/>
        </w:rPr>
      </w:pPr>
      <w:r w:rsidRPr="00363805">
        <w:rPr>
          <w:rFonts w:ascii="Verdana" w:hAnsi="Verdana"/>
        </w:rPr>
        <w:t xml:space="preserve">This interim strategy </w:t>
      </w:r>
      <w:r>
        <w:rPr>
          <w:rFonts w:ascii="Verdana" w:hAnsi="Verdana"/>
        </w:rPr>
        <w:t xml:space="preserve">for 2022 </w:t>
      </w:r>
      <w:r w:rsidRPr="00363805">
        <w:rPr>
          <w:rFonts w:ascii="Verdana" w:hAnsi="Verdana"/>
        </w:rPr>
        <w:t xml:space="preserve">allows us to reaffirm our focus on EDI whilst affording us the opportunity to carry out meaningful consultation across the organisation, plan our EDI work for the coming years; as well as aligning our new strategy to documents such as our Annual Plan, People Strategy, </w:t>
      </w:r>
      <w:r>
        <w:rPr>
          <w:rFonts w:ascii="Verdana" w:hAnsi="Verdana"/>
        </w:rPr>
        <w:t>C</w:t>
      </w:r>
      <w:r w:rsidRPr="00363805">
        <w:rPr>
          <w:rFonts w:ascii="Verdana" w:hAnsi="Verdana"/>
        </w:rPr>
        <w:t xml:space="preserve">RMP, Fit for the Future, </w:t>
      </w:r>
      <w:r>
        <w:rPr>
          <w:rFonts w:ascii="Verdana" w:hAnsi="Verdana"/>
        </w:rPr>
        <w:t xml:space="preserve">the Core Code of Ethics, </w:t>
      </w:r>
      <w:r w:rsidRPr="00363805">
        <w:rPr>
          <w:rFonts w:ascii="Verdana" w:hAnsi="Verdana"/>
        </w:rPr>
        <w:t xml:space="preserve">the pending White Paper and </w:t>
      </w:r>
      <w:r>
        <w:rPr>
          <w:rFonts w:ascii="Verdana" w:hAnsi="Verdana"/>
        </w:rPr>
        <w:t>the</w:t>
      </w:r>
      <w:r w:rsidRPr="00363805">
        <w:rPr>
          <w:rFonts w:ascii="Verdana" w:hAnsi="Verdana"/>
        </w:rPr>
        <w:t xml:space="preserve"> refreshed </w:t>
      </w:r>
      <w:r>
        <w:rPr>
          <w:rFonts w:ascii="Verdana" w:hAnsi="Verdana"/>
        </w:rPr>
        <w:t>‘</w:t>
      </w:r>
      <w:r w:rsidRPr="00363805">
        <w:rPr>
          <w:rFonts w:ascii="Verdana" w:hAnsi="Verdana"/>
        </w:rPr>
        <w:t>Our Story</w:t>
      </w:r>
      <w:r>
        <w:rPr>
          <w:rFonts w:ascii="Verdana" w:hAnsi="Verdana"/>
        </w:rPr>
        <w:t>’</w:t>
      </w:r>
      <w:r w:rsidRPr="00363805">
        <w:rPr>
          <w:rFonts w:ascii="Verdana" w:hAnsi="Verdana"/>
        </w:rPr>
        <w:t xml:space="preserve">. </w:t>
      </w:r>
      <w:r>
        <w:rPr>
          <w:rFonts w:ascii="Verdana" w:hAnsi="Verdana"/>
        </w:rPr>
        <w:t xml:space="preserve"> Consideration will also be given to how we can incorporate recommendations from wider sectors such as the recommendations from the Commission on Race and Ethnic Disparities (CRED) Report around advancing fairness in the workplace.</w:t>
      </w:r>
    </w:p>
    <w:p w:rsidR="00C727BD" w:rsidRDefault="00C727BD" w:rsidP="00C727BD">
      <w:pPr>
        <w:pStyle w:val="Default"/>
        <w:spacing w:line="480" w:lineRule="auto"/>
        <w:rPr>
          <w:rFonts w:ascii="Verdana" w:hAnsi="Verdana"/>
        </w:rPr>
      </w:pPr>
      <w:r w:rsidRPr="00363805">
        <w:rPr>
          <w:rFonts w:ascii="Verdana" w:hAnsi="Verdana"/>
        </w:rPr>
        <w:lastRenderedPageBreak/>
        <w:t>This consultation will include a review of our objectives and our action plan to ensure we are putting our efforts into the right areas, together with a self-assessment using the NFCC’s maturity model, which will enable us to understand our current level of maturity in relation to EDI.</w:t>
      </w:r>
      <w:r>
        <w:rPr>
          <w:rFonts w:ascii="Verdana" w:hAnsi="Verdana"/>
        </w:rPr>
        <w:t xml:space="preserve"> Considerations will also be given on how we consult with the South Yorkshire community.</w:t>
      </w:r>
    </w:p>
    <w:p w:rsidR="00C727BD" w:rsidRPr="00363805" w:rsidRDefault="00C727BD" w:rsidP="00C727BD">
      <w:pPr>
        <w:pStyle w:val="Default"/>
        <w:spacing w:line="480" w:lineRule="auto"/>
        <w:rPr>
          <w:rFonts w:ascii="Verdana" w:hAnsi="Verdana"/>
        </w:rPr>
      </w:pPr>
    </w:p>
    <w:p w:rsidR="00C727BD" w:rsidRPr="00363805" w:rsidRDefault="00C727BD" w:rsidP="00C727BD">
      <w:pPr>
        <w:pStyle w:val="Default"/>
        <w:spacing w:line="480" w:lineRule="auto"/>
        <w:rPr>
          <w:rFonts w:ascii="Verdana" w:hAnsi="Verdana"/>
          <w:b/>
        </w:rPr>
      </w:pPr>
      <w:r w:rsidRPr="00363805">
        <w:rPr>
          <w:rFonts w:ascii="Verdana" w:hAnsi="Verdana"/>
          <w:noProof/>
          <w:lang w:eastAsia="en-GB"/>
        </w:rPr>
        <w:drawing>
          <wp:anchor distT="0" distB="0" distL="114300" distR="114300" simplePos="0" relativeHeight="251661312" behindDoc="1" locked="0" layoutInCell="1" allowOverlap="1" wp14:anchorId="7A55F63F" wp14:editId="4ED4D8AE">
            <wp:simplePos x="0" y="0"/>
            <wp:positionH relativeFrom="column">
              <wp:posOffset>3390900</wp:posOffset>
            </wp:positionH>
            <wp:positionV relativeFrom="paragraph">
              <wp:posOffset>0</wp:posOffset>
            </wp:positionV>
            <wp:extent cx="2085690" cy="3297886"/>
            <wp:effectExtent l="0" t="0" r="0" b="0"/>
            <wp:wrapTight wrapText="bothSides">
              <wp:wrapPolygon edited="0">
                <wp:start x="0" y="0"/>
                <wp:lineTo x="0" y="21463"/>
                <wp:lineTo x="21311" y="21463"/>
                <wp:lineTo x="213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85690" cy="3297886"/>
                    </a:xfrm>
                    <a:prstGeom prst="rect">
                      <a:avLst/>
                    </a:prstGeom>
                  </pic:spPr>
                </pic:pic>
              </a:graphicData>
            </a:graphic>
          </wp:anchor>
        </w:drawing>
      </w:r>
      <w:r w:rsidRPr="00363805">
        <w:rPr>
          <w:rFonts w:ascii="Verdana" w:hAnsi="Verdana"/>
          <w:b/>
        </w:rPr>
        <w:t>Our Aspirations</w:t>
      </w:r>
    </w:p>
    <w:p w:rsidR="00C727BD" w:rsidRDefault="00C727BD" w:rsidP="00C727BD">
      <w:pPr>
        <w:spacing w:after="0" w:line="480" w:lineRule="auto"/>
        <w:rPr>
          <w:rFonts w:ascii="Verdana" w:hAnsi="Verdana"/>
          <w:sz w:val="24"/>
          <w:szCs w:val="24"/>
        </w:rPr>
      </w:pPr>
      <w:r w:rsidRPr="00363805">
        <w:rPr>
          <w:rFonts w:ascii="Verdana" w:hAnsi="Verdana"/>
          <w:sz w:val="24"/>
          <w:szCs w:val="24"/>
        </w:rPr>
        <w:t>Our aspirations are shown in the diagram here, to help us achieve our aspirations, we are working on a communications plan to support understanding of EDI across the organisation, an EDI toolkit, guidance on having EDI conversations and incorporating EDI objectives into our Personal Review process.</w:t>
      </w:r>
    </w:p>
    <w:p w:rsidR="00C727BD" w:rsidRPr="00363805" w:rsidRDefault="00C727BD" w:rsidP="00C727BD">
      <w:pPr>
        <w:spacing w:after="0" w:line="480" w:lineRule="auto"/>
        <w:rPr>
          <w:rFonts w:ascii="Verdana" w:hAnsi="Verdana"/>
          <w:sz w:val="24"/>
          <w:szCs w:val="24"/>
        </w:rPr>
      </w:pPr>
    </w:p>
    <w:p w:rsidR="00C727BD" w:rsidRPr="00363805" w:rsidRDefault="00C727BD" w:rsidP="00C727BD">
      <w:pPr>
        <w:spacing w:after="0" w:line="480" w:lineRule="auto"/>
        <w:rPr>
          <w:rFonts w:ascii="Verdana" w:hAnsi="Verdana"/>
          <w:sz w:val="24"/>
          <w:szCs w:val="24"/>
        </w:rPr>
      </w:pPr>
      <w:r w:rsidRPr="00363805">
        <w:rPr>
          <w:rFonts w:ascii="Verdana" w:hAnsi="Verdana" w:cs="Arial"/>
          <w:bCs/>
          <w:noProof/>
          <w:szCs w:val="28"/>
          <w:lang w:eastAsia="en-GB"/>
        </w:rPr>
        <w:drawing>
          <wp:anchor distT="0" distB="0" distL="114300" distR="114300" simplePos="0" relativeHeight="251659264" behindDoc="1" locked="0" layoutInCell="1" allowOverlap="1" wp14:anchorId="5689668C" wp14:editId="702FF2CE">
            <wp:simplePos x="0" y="0"/>
            <wp:positionH relativeFrom="margin">
              <wp:posOffset>9525</wp:posOffset>
            </wp:positionH>
            <wp:positionV relativeFrom="paragraph">
              <wp:posOffset>142875</wp:posOffset>
            </wp:positionV>
            <wp:extent cx="2920365" cy="1581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0365" cy="15811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C727BD" w:rsidRPr="00363805" w:rsidRDefault="00C727BD" w:rsidP="00C727BD">
      <w:pPr>
        <w:pStyle w:val="Default"/>
        <w:spacing w:line="480" w:lineRule="auto"/>
        <w:rPr>
          <w:rFonts w:ascii="Verdana" w:hAnsi="Verdana"/>
          <w:b/>
        </w:rPr>
      </w:pPr>
      <w:r w:rsidRPr="00363805">
        <w:rPr>
          <w:rFonts w:ascii="Verdana" w:hAnsi="Verdana"/>
          <w:b/>
        </w:rPr>
        <w:t>Interdependencies</w:t>
      </w:r>
    </w:p>
    <w:p w:rsidR="00C727BD" w:rsidRPr="00363805" w:rsidRDefault="00C727BD" w:rsidP="00C727BD">
      <w:pPr>
        <w:pStyle w:val="Default"/>
        <w:spacing w:line="480" w:lineRule="auto"/>
        <w:rPr>
          <w:rFonts w:ascii="Verdana" w:hAnsi="Verdana"/>
        </w:rPr>
      </w:pPr>
      <w:r w:rsidRPr="00363805">
        <w:rPr>
          <w:rFonts w:ascii="Verdana" w:hAnsi="Verdana"/>
        </w:rPr>
        <w:t>There are a number of interdependencies currently that offer us the opportunity to ensure EDI is at the heart of everything we do; this includes a number of projects have either begun or are being established which cover the areas of:-</w:t>
      </w:r>
    </w:p>
    <w:p w:rsidR="00C727BD" w:rsidRPr="00363805" w:rsidRDefault="00C727BD" w:rsidP="00C727BD">
      <w:pPr>
        <w:pStyle w:val="Default"/>
        <w:numPr>
          <w:ilvl w:val="0"/>
          <w:numId w:val="1"/>
        </w:numPr>
        <w:spacing w:line="480" w:lineRule="auto"/>
        <w:rPr>
          <w:rFonts w:ascii="Verdana" w:hAnsi="Verdana"/>
        </w:rPr>
      </w:pPr>
      <w:r w:rsidRPr="00363805">
        <w:rPr>
          <w:rFonts w:ascii="Verdana" w:hAnsi="Verdana"/>
        </w:rPr>
        <w:lastRenderedPageBreak/>
        <w:t>leadership and development</w:t>
      </w:r>
    </w:p>
    <w:p w:rsidR="00C727BD" w:rsidRPr="00363805" w:rsidRDefault="00C727BD" w:rsidP="00C727BD">
      <w:pPr>
        <w:pStyle w:val="Default"/>
        <w:numPr>
          <w:ilvl w:val="0"/>
          <w:numId w:val="1"/>
        </w:numPr>
        <w:spacing w:line="480" w:lineRule="auto"/>
        <w:rPr>
          <w:rFonts w:ascii="Verdana" w:hAnsi="Verdana"/>
        </w:rPr>
      </w:pPr>
      <w:r w:rsidRPr="00363805">
        <w:rPr>
          <w:rFonts w:ascii="Verdana" w:hAnsi="Verdana"/>
        </w:rPr>
        <w:t>progression</w:t>
      </w:r>
    </w:p>
    <w:p w:rsidR="00C727BD" w:rsidRDefault="00C727BD" w:rsidP="00C727BD">
      <w:pPr>
        <w:pStyle w:val="Default"/>
        <w:numPr>
          <w:ilvl w:val="0"/>
          <w:numId w:val="1"/>
        </w:numPr>
        <w:spacing w:line="480" w:lineRule="auto"/>
        <w:rPr>
          <w:rFonts w:ascii="Verdana" w:hAnsi="Verdana"/>
        </w:rPr>
      </w:pPr>
      <w:r w:rsidRPr="00363805">
        <w:rPr>
          <w:rFonts w:ascii="Verdana" w:hAnsi="Verdana"/>
        </w:rPr>
        <w:t xml:space="preserve">attraction and recruitment </w:t>
      </w:r>
    </w:p>
    <w:p w:rsidR="00C727BD" w:rsidRDefault="00C727BD" w:rsidP="00C727BD">
      <w:pPr>
        <w:pStyle w:val="Default"/>
        <w:numPr>
          <w:ilvl w:val="0"/>
          <w:numId w:val="1"/>
        </w:numPr>
        <w:spacing w:line="480" w:lineRule="auto"/>
        <w:rPr>
          <w:rFonts w:ascii="Verdana" w:hAnsi="Verdana"/>
        </w:rPr>
      </w:pPr>
      <w:r>
        <w:rPr>
          <w:rFonts w:ascii="Verdana" w:hAnsi="Verdana"/>
        </w:rPr>
        <w:t>community safety</w:t>
      </w:r>
    </w:p>
    <w:p w:rsidR="00C727BD" w:rsidRPr="00363805" w:rsidRDefault="00C727BD" w:rsidP="00C727BD">
      <w:pPr>
        <w:pStyle w:val="Default"/>
        <w:spacing w:line="480" w:lineRule="auto"/>
        <w:ind w:left="360"/>
        <w:rPr>
          <w:rFonts w:ascii="Verdana" w:hAnsi="Verdana"/>
        </w:rPr>
      </w:pPr>
    </w:p>
    <w:p w:rsidR="00C727BD" w:rsidRPr="00363805" w:rsidRDefault="00C727BD" w:rsidP="00C727BD">
      <w:pPr>
        <w:pStyle w:val="Default"/>
        <w:spacing w:line="480" w:lineRule="auto"/>
        <w:rPr>
          <w:rFonts w:ascii="Verdana" w:hAnsi="Verdana"/>
          <w:b/>
        </w:rPr>
      </w:pPr>
      <w:r w:rsidRPr="00363805">
        <w:rPr>
          <w:rFonts w:ascii="Verdana" w:hAnsi="Verdana"/>
          <w:b/>
        </w:rPr>
        <w:t>Our EDI Governance Structure</w:t>
      </w:r>
    </w:p>
    <w:p w:rsidR="00C727BD" w:rsidRPr="00B118DE" w:rsidRDefault="00C727BD" w:rsidP="00C727BD">
      <w:pPr>
        <w:spacing w:line="480" w:lineRule="auto"/>
        <w:rPr>
          <w:rFonts w:ascii="Verdana" w:hAnsi="Verdana" w:cs="Raleway SemiBold"/>
          <w:color w:val="000000"/>
          <w:sz w:val="24"/>
          <w:szCs w:val="24"/>
        </w:rPr>
      </w:pPr>
      <w:r>
        <w:rPr>
          <w:rFonts w:ascii="Verdana" w:hAnsi="Verdana" w:cs="Raleway SemiBold"/>
          <w:color w:val="000000"/>
          <w:sz w:val="24"/>
          <w:szCs w:val="24"/>
        </w:rPr>
        <w:t xml:space="preserve">We have recently reviewed and updated our </w:t>
      </w:r>
      <w:r w:rsidRPr="00B118DE">
        <w:rPr>
          <w:rFonts w:ascii="Verdana" w:hAnsi="Verdana" w:cs="Raleway SemiBold"/>
          <w:color w:val="000000"/>
          <w:sz w:val="24"/>
          <w:szCs w:val="24"/>
        </w:rPr>
        <w:t>meeting and decision making structures, to make it clearer to staff how and where decisions are made.</w:t>
      </w:r>
    </w:p>
    <w:p w:rsidR="00C727BD" w:rsidRPr="00B118DE" w:rsidRDefault="00C727BD" w:rsidP="00C727BD">
      <w:pPr>
        <w:spacing w:line="480" w:lineRule="auto"/>
        <w:rPr>
          <w:rFonts w:ascii="Verdana" w:hAnsi="Verdana" w:cs="Raleway SemiBold"/>
          <w:color w:val="000000"/>
          <w:sz w:val="24"/>
          <w:szCs w:val="24"/>
        </w:rPr>
      </w:pPr>
      <w:r>
        <w:rPr>
          <w:rFonts w:ascii="Verdana" w:hAnsi="Verdana" w:cs="Raleway SemiBold"/>
          <w:color w:val="000000"/>
          <w:sz w:val="24"/>
          <w:szCs w:val="24"/>
        </w:rPr>
        <w:t>Our</w:t>
      </w:r>
      <w:r w:rsidRPr="00B118DE">
        <w:rPr>
          <w:rFonts w:ascii="Verdana" w:hAnsi="Verdana" w:cs="Raleway SemiBold"/>
          <w:color w:val="000000"/>
          <w:sz w:val="24"/>
          <w:szCs w:val="24"/>
        </w:rPr>
        <w:t xml:space="preserve"> Equality, Diversity &amp; Inclusion Committee is chaired by the Head of Human Resources and reports directly to the People Board, chaired by the Deputy Chief Fire Officer. The role of the committee is to report progress against the service’s EDI action plan, recruitment and retention of staff and matters arising from staff </w:t>
      </w:r>
      <w:r>
        <w:rPr>
          <w:rFonts w:ascii="Verdana" w:hAnsi="Verdana" w:cs="Raleway SemiBold"/>
          <w:color w:val="000000"/>
          <w:sz w:val="24"/>
          <w:szCs w:val="24"/>
        </w:rPr>
        <w:t>group</w:t>
      </w:r>
      <w:r w:rsidRPr="00B118DE">
        <w:rPr>
          <w:rFonts w:ascii="Verdana" w:hAnsi="Verdana" w:cs="Raleway SemiBold"/>
          <w:color w:val="000000"/>
          <w:sz w:val="24"/>
          <w:szCs w:val="24"/>
        </w:rPr>
        <w:t xml:space="preserve"> meetings.</w:t>
      </w:r>
    </w:p>
    <w:p w:rsidR="00C727BD" w:rsidRPr="00B118DE" w:rsidRDefault="00C727BD" w:rsidP="00C727BD">
      <w:pPr>
        <w:spacing w:line="480" w:lineRule="auto"/>
        <w:rPr>
          <w:rFonts w:ascii="Verdana" w:hAnsi="Verdana" w:cs="Raleway SemiBold"/>
          <w:color w:val="000000"/>
          <w:sz w:val="24"/>
          <w:szCs w:val="24"/>
        </w:rPr>
      </w:pPr>
      <w:r w:rsidRPr="00B118DE">
        <w:rPr>
          <w:rFonts w:ascii="Verdana" w:hAnsi="Verdana" w:cs="Raleway SemiBold"/>
          <w:color w:val="000000"/>
          <w:sz w:val="24"/>
          <w:szCs w:val="24"/>
        </w:rPr>
        <w:t xml:space="preserve">EDI themes are also prioritised at all of the other committees and boards which form part of </w:t>
      </w:r>
      <w:r>
        <w:rPr>
          <w:rFonts w:ascii="Verdana" w:hAnsi="Verdana" w:cs="Raleway SemiBold"/>
          <w:color w:val="000000"/>
          <w:sz w:val="24"/>
          <w:szCs w:val="24"/>
        </w:rPr>
        <w:t>our</w:t>
      </w:r>
      <w:r w:rsidRPr="00B118DE">
        <w:rPr>
          <w:rFonts w:ascii="Verdana" w:hAnsi="Verdana" w:cs="Raleway SemiBold"/>
          <w:color w:val="000000"/>
          <w:sz w:val="24"/>
          <w:szCs w:val="24"/>
        </w:rPr>
        <w:t xml:space="preserve"> decision making structures. This reflects</w:t>
      </w:r>
      <w:r>
        <w:rPr>
          <w:rFonts w:ascii="Verdana" w:hAnsi="Verdana" w:cs="Raleway SemiBold"/>
          <w:color w:val="000000"/>
          <w:sz w:val="24"/>
          <w:szCs w:val="24"/>
        </w:rPr>
        <w:t xml:space="preserve"> our position to fully embed EDI throughout our culture;</w:t>
      </w:r>
      <w:r w:rsidRPr="00B118DE">
        <w:rPr>
          <w:rFonts w:ascii="Verdana" w:hAnsi="Verdana" w:cs="Raleway SemiBold"/>
          <w:color w:val="000000"/>
          <w:sz w:val="24"/>
          <w:szCs w:val="24"/>
        </w:rPr>
        <w:t xml:space="preserve"> it should be </w:t>
      </w:r>
      <w:r>
        <w:rPr>
          <w:rFonts w:ascii="Verdana" w:hAnsi="Verdana" w:cs="Raleway SemiBold"/>
          <w:color w:val="000000"/>
          <w:sz w:val="24"/>
          <w:szCs w:val="24"/>
        </w:rPr>
        <w:t>considered across service areas -</w:t>
      </w:r>
      <w:r w:rsidRPr="00B118DE">
        <w:rPr>
          <w:rFonts w:ascii="Verdana" w:hAnsi="Verdana" w:cs="Raleway SemiBold"/>
          <w:color w:val="000000"/>
          <w:sz w:val="24"/>
          <w:szCs w:val="24"/>
        </w:rPr>
        <w:t xml:space="preserve"> not simply treated as a standalone topic or function area</w:t>
      </w:r>
      <w:r>
        <w:rPr>
          <w:rFonts w:ascii="Verdana" w:hAnsi="Verdana" w:cs="Raleway SemiBold"/>
          <w:color w:val="000000"/>
          <w:sz w:val="24"/>
          <w:szCs w:val="24"/>
        </w:rPr>
        <w:t xml:space="preserve"> responsibility</w:t>
      </w:r>
      <w:r w:rsidRPr="00B118DE">
        <w:rPr>
          <w:rFonts w:ascii="Verdana" w:hAnsi="Verdana" w:cs="Raleway SemiBold"/>
          <w:color w:val="000000"/>
          <w:sz w:val="24"/>
          <w:szCs w:val="24"/>
        </w:rPr>
        <w:t>.</w:t>
      </w:r>
    </w:p>
    <w:p w:rsidR="00C727BD" w:rsidRPr="00B118DE" w:rsidRDefault="00C727BD" w:rsidP="00C727BD">
      <w:pPr>
        <w:rPr>
          <w:rFonts w:ascii="Verdana" w:hAnsi="Verdana" w:cs="Raleway SemiBold"/>
          <w:color w:val="000000"/>
          <w:sz w:val="24"/>
          <w:szCs w:val="24"/>
        </w:rPr>
      </w:pPr>
    </w:p>
    <w:p w:rsidR="00C727BD" w:rsidRPr="00363805" w:rsidRDefault="00C727BD" w:rsidP="00C727BD">
      <w:pPr>
        <w:rPr>
          <w:rFonts w:ascii="Verdana" w:hAnsi="Verdana"/>
        </w:rPr>
      </w:pPr>
      <w:r w:rsidRPr="00363805">
        <w:rPr>
          <w:rFonts w:ascii="Verdana" w:hAnsi="Verdana"/>
        </w:rPr>
        <w:br w:type="page"/>
      </w:r>
    </w:p>
    <w:p w:rsidR="00C727BD" w:rsidRDefault="00C727BD" w:rsidP="00C727BD">
      <w:pPr>
        <w:tabs>
          <w:tab w:val="left" w:pos="1275"/>
        </w:tabs>
        <w:rPr>
          <w:rFonts w:ascii="Verdana" w:hAnsi="Verdana"/>
          <w:b/>
        </w:rPr>
        <w:sectPr w:rsidR="00C727BD">
          <w:footerReference w:type="default" r:id="rId10"/>
          <w:pgSz w:w="11906" w:h="16838"/>
          <w:pgMar w:top="1440" w:right="1440" w:bottom="1440" w:left="1440" w:header="708" w:footer="708" w:gutter="0"/>
          <w:cols w:space="708"/>
          <w:docGrid w:linePitch="360"/>
        </w:sectPr>
      </w:pPr>
    </w:p>
    <w:p w:rsidR="00C727BD" w:rsidRDefault="00C727BD" w:rsidP="00C727BD">
      <w:pPr>
        <w:tabs>
          <w:tab w:val="left" w:pos="1275"/>
        </w:tabs>
        <w:rPr>
          <w:rFonts w:ascii="Verdana" w:hAnsi="Verdana"/>
          <w:b/>
        </w:rPr>
      </w:pPr>
      <w:r w:rsidRPr="00363805">
        <w:rPr>
          <w:rFonts w:ascii="Verdana" w:hAnsi="Verdana"/>
          <w:b/>
        </w:rPr>
        <w:lastRenderedPageBreak/>
        <w:t>APPENDIX 1</w:t>
      </w:r>
      <w:r>
        <w:rPr>
          <w:rFonts w:ascii="Verdana" w:hAnsi="Verdana"/>
          <w:b/>
        </w:rPr>
        <w:t xml:space="preserve"> - </w:t>
      </w:r>
      <w:r w:rsidRPr="00363805">
        <w:rPr>
          <w:rFonts w:ascii="Verdana" w:hAnsi="Verdana"/>
          <w:b/>
        </w:rPr>
        <w:t>ANNUAL EDI OBJECTIVES 202</w:t>
      </w:r>
      <w:r>
        <w:rPr>
          <w:rFonts w:ascii="Verdana" w:hAnsi="Verdana"/>
          <w:b/>
        </w:rPr>
        <w:t>2</w:t>
      </w:r>
    </w:p>
    <w:p w:rsidR="00C727BD" w:rsidRPr="00DE45CB" w:rsidRDefault="00C727BD" w:rsidP="00C727BD">
      <w:pPr>
        <w:tabs>
          <w:tab w:val="left" w:pos="1275"/>
        </w:tabs>
        <w:rPr>
          <w:rFonts w:ascii="Verdana" w:hAnsi="Verdana"/>
        </w:rPr>
      </w:pPr>
      <w:r>
        <w:rPr>
          <w:rFonts w:ascii="Verdana" w:hAnsi="Verdana"/>
        </w:rPr>
        <w:t>The table below details the our goals and objectives for the remainder of 2022.This work will be supported by the  action plan below;</w:t>
      </w:r>
    </w:p>
    <w:tbl>
      <w:tblPr>
        <w:tblStyle w:val="TableGrid"/>
        <w:tblW w:w="14170" w:type="dxa"/>
        <w:tblLook w:val="04A0" w:firstRow="1" w:lastRow="0" w:firstColumn="1" w:lastColumn="0" w:noHBand="0" w:noVBand="1"/>
      </w:tblPr>
      <w:tblGrid>
        <w:gridCol w:w="2041"/>
        <w:gridCol w:w="4333"/>
        <w:gridCol w:w="7796"/>
      </w:tblGrid>
      <w:tr w:rsidR="00C727BD" w:rsidRPr="00277DAA" w:rsidTr="00CE00EE">
        <w:trPr>
          <w:trHeight w:val="619"/>
        </w:trPr>
        <w:tc>
          <w:tcPr>
            <w:tcW w:w="2041" w:type="dxa"/>
          </w:tcPr>
          <w:p w:rsidR="00C727BD" w:rsidRPr="00277DAA" w:rsidRDefault="00C727BD" w:rsidP="00CE00EE">
            <w:pPr>
              <w:tabs>
                <w:tab w:val="left" w:pos="1275"/>
              </w:tabs>
              <w:rPr>
                <w:rFonts w:ascii="Verdana" w:hAnsi="Verdana"/>
                <w:b/>
                <w:sz w:val="20"/>
                <w:szCs w:val="20"/>
              </w:rPr>
            </w:pPr>
            <w:r w:rsidRPr="00277DAA">
              <w:rPr>
                <w:rFonts w:ascii="Verdana" w:hAnsi="Verdana"/>
                <w:b/>
                <w:sz w:val="20"/>
                <w:szCs w:val="20"/>
              </w:rPr>
              <w:t>OBJECTIVE</w:t>
            </w:r>
          </w:p>
        </w:tc>
        <w:tc>
          <w:tcPr>
            <w:tcW w:w="4333" w:type="dxa"/>
          </w:tcPr>
          <w:p w:rsidR="00C727BD" w:rsidRPr="00277DAA" w:rsidRDefault="00C727BD" w:rsidP="00CE00EE">
            <w:pPr>
              <w:tabs>
                <w:tab w:val="left" w:pos="1275"/>
              </w:tabs>
              <w:rPr>
                <w:rFonts w:ascii="Verdana" w:hAnsi="Verdana"/>
                <w:b/>
                <w:sz w:val="20"/>
                <w:szCs w:val="20"/>
              </w:rPr>
            </w:pPr>
            <w:r w:rsidRPr="00277DAA">
              <w:rPr>
                <w:rFonts w:ascii="Verdana" w:hAnsi="Verdana"/>
                <w:b/>
                <w:sz w:val="20"/>
                <w:szCs w:val="20"/>
              </w:rPr>
              <w:t>DESCRIPTION</w:t>
            </w:r>
          </w:p>
        </w:tc>
        <w:tc>
          <w:tcPr>
            <w:tcW w:w="7796" w:type="dxa"/>
          </w:tcPr>
          <w:p w:rsidR="00C727BD" w:rsidRPr="00277DAA" w:rsidRDefault="00C727BD" w:rsidP="00CE00EE">
            <w:pPr>
              <w:tabs>
                <w:tab w:val="left" w:pos="1275"/>
              </w:tabs>
              <w:rPr>
                <w:rFonts w:ascii="Verdana" w:hAnsi="Verdana"/>
                <w:b/>
                <w:sz w:val="20"/>
                <w:szCs w:val="20"/>
              </w:rPr>
            </w:pPr>
            <w:r w:rsidRPr="00277DAA">
              <w:rPr>
                <w:rFonts w:ascii="Verdana" w:hAnsi="Verdana"/>
                <w:b/>
                <w:sz w:val="20"/>
                <w:szCs w:val="20"/>
              </w:rPr>
              <w:t>EDI GOALS</w:t>
            </w:r>
          </w:p>
        </w:tc>
      </w:tr>
      <w:tr w:rsidR="00C727BD" w:rsidRPr="00277DAA" w:rsidTr="00CE00EE">
        <w:trPr>
          <w:trHeight w:val="1026"/>
        </w:trPr>
        <w:tc>
          <w:tcPr>
            <w:tcW w:w="2041" w:type="dxa"/>
          </w:tcPr>
          <w:p w:rsidR="00C727BD" w:rsidRPr="00277DAA" w:rsidRDefault="00C727BD" w:rsidP="00CE00EE">
            <w:pPr>
              <w:tabs>
                <w:tab w:val="left" w:pos="1275"/>
              </w:tabs>
              <w:rPr>
                <w:rFonts w:ascii="Verdana" w:hAnsi="Verdana"/>
                <w:b/>
                <w:sz w:val="20"/>
                <w:szCs w:val="20"/>
              </w:rPr>
            </w:pPr>
            <w:r w:rsidRPr="00277DAA">
              <w:rPr>
                <w:rFonts w:ascii="Verdana" w:hAnsi="Verdana"/>
                <w:b/>
                <w:sz w:val="20"/>
                <w:szCs w:val="20"/>
              </w:rPr>
              <w:t>IMPROVING DIVERSITY</w:t>
            </w:r>
          </w:p>
        </w:tc>
        <w:tc>
          <w:tcPr>
            <w:tcW w:w="4333" w:type="dxa"/>
          </w:tcPr>
          <w:p w:rsidR="00C727BD" w:rsidRPr="00277DAA" w:rsidRDefault="00C727BD" w:rsidP="00CE00EE">
            <w:pPr>
              <w:tabs>
                <w:tab w:val="left" w:pos="1260"/>
              </w:tabs>
              <w:rPr>
                <w:rFonts w:ascii="Verdana" w:hAnsi="Verdana"/>
                <w:sz w:val="20"/>
                <w:szCs w:val="20"/>
                <w:lang w:eastAsia="en-GB"/>
              </w:rPr>
            </w:pPr>
            <w:r w:rsidRPr="00277DAA">
              <w:rPr>
                <w:rFonts w:ascii="Verdana" w:hAnsi="Verdana"/>
                <w:noProof/>
                <w:sz w:val="20"/>
                <w:szCs w:val="20"/>
                <w:lang w:eastAsia="en-GB"/>
              </w:rPr>
              <w:t>Recruit, develop, support and retain a workforce which reflects the diversity of the communities we serve.</w:t>
            </w:r>
          </w:p>
        </w:tc>
        <w:tc>
          <w:tcPr>
            <w:tcW w:w="7796" w:type="dxa"/>
          </w:tcPr>
          <w:p w:rsidR="00C727BD" w:rsidRPr="00277DAA" w:rsidRDefault="00C727BD" w:rsidP="00C727BD">
            <w:pPr>
              <w:pStyle w:val="ListParagraph"/>
              <w:numPr>
                <w:ilvl w:val="0"/>
                <w:numId w:val="3"/>
              </w:numPr>
              <w:tabs>
                <w:tab w:val="left" w:pos="1275"/>
              </w:tabs>
              <w:rPr>
                <w:rFonts w:ascii="Verdana" w:hAnsi="Verdana"/>
                <w:sz w:val="20"/>
                <w:szCs w:val="20"/>
              </w:rPr>
            </w:pPr>
            <w:r>
              <w:rPr>
                <w:rFonts w:ascii="Verdana" w:hAnsi="Verdana"/>
                <w:sz w:val="20"/>
                <w:szCs w:val="20"/>
              </w:rPr>
              <w:t>Develop</w:t>
            </w:r>
            <w:r w:rsidRPr="00277DAA">
              <w:rPr>
                <w:rFonts w:ascii="Verdana" w:hAnsi="Verdana"/>
                <w:sz w:val="20"/>
                <w:szCs w:val="20"/>
              </w:rPr>
              <w:t xml:space="preserve"> a diverse and representative workforce </w:t>
            </w:r>
          </w:p>
          <w:p w:rsidR="00C727BD" w:rsidRPr="00277DAA" w:rsidRDefault="00C727BD" w:rsidP="00C727BD">
            <w:pPr>
              <w:pStyle w:val="ListParagraph"/>
              <w:numPr>
                <w:ilvl w:val="0"/>
                <w:numId w:val="3"/>
              </w:numPr>
              <w:tabs>
                <w:tab w:val="left" w:pos="1275"/>
              </w:tabs>
              <w:rPr>
                <w:rFonts w:ascii="Verdana" w:hAnsi="Verdana"/>
                <w:sz w:val="20"/>
                <w:szCs w:val="20"/>
              </w:rPr>
            </w:pPr>
            <w:r w:rsidRPr="00277DAA">
              <w:rPr>
                <w:rFonts w:ascii="Verdana" w:hAnsi="Verdana"/>
                <w:sz w:val="20"/>
                <w:szCs w:val="20"/>
              </w:rPr>
              <w:t>Retain and value a diverse workforce</w:t>
            </w:r>
          </w:p>
          <w:p w:rsidR="00C727BD" w:rsidRPr="00277DAA" w:rsidRDefault="00C727BD" w:rsidP="00C727BD">
            <w:pPr>
              <w:pStyle w:val="ListParagraph"/>
              <w:numPr>
                <w:ilvl w:val="0"/>
                <w:numId w:val="3"/>
              </w:numPr>
              <w:tabs>
                <w:tab w:val="left" w:pos="1275"/>
              </w:tabs>
              <w:rPr>
                <w:rFonts w:ascii="Verdana" w:hAnsi="Verdana"/>
                <w:sz w:val="20"/>
                <w:szCs w:val="20"/>
              </w:rPr>
            </w:pPr>
            <w:r w:rsidRPr="00277DAA">
              <w:rPr>
                <w:rFonts w:ascii="Verdana" w:hAnsi="Verdana"/>
                <w:sz w:val="20"/>
                <w:szCs w:val="20"/>
              </w:rPr>
              <w:t>Be viewed as an employer of choice</w:t>
            </w:r>
          </w:p>
        </w:tc>
      </w:tr>
      <w:tr w:rsidR="00C727BD" w:rsidRPr="00277DAA" w:rsidTr="00CE00EE">
        <w:trPr>
          <w:trHeight w:val="1026"/>
        </w:trPr>
        <w:tc>
          <w:tcPr>
            <w:tcW w:w="2041" w:type="dxa"/>
          </w:tcPr>
          <w:p w:rsidR="00C727BD" w:rsidRPr="00277DAA" w:rsidRDefault="00C727BD" w:rsidP="00CE00EE">
            <w:pPr>
              <w:tabs>
                <w:tab w:val="left" w:pos="1275"/>
              </w:tabs>
              <w:rPr>
                <w:rFonts w:ascii="Verdana" w:hAnsi="Verdana"/>
                <w:b/>
                <w:sz w:val="20"/>
                <w:szCs w:val="20"/>
              </w:rPr>
            </w:pPr>
            <w:r w:rsidRPr="00277DAA">
              <w:rPr>
                <w:rFonts w:ascii="Verdana" w:hAnsi="Verdana"/>
                <w:b/>
                <w:sz w:val="20"/>
                <w:szCs w:val="20"/>
              </w:rPr>
              <w:t>INCLUSIVE CULTURE</w:t>
            </w:r>
          </w:p>
        </w:tc>
        <w:tc>
          <w:tcPr>
            <w:tcW w:w="4333" w:type="dxa"/>
          </w:tcPr>
          <w:p w:rsidR="00C727BD" w:rsidRPr="00277DAA" w:rsidRDefault="00C727BD" w:rsidP="00CE00EE">
            <w:pPr>
              <w:tabs>
                <w:tab w:val="left" w:pos="1275"/>
              </w:tabs>
              <w:rPr>
                <w:rFonts w:ascii="Verdana" w:hAnsi="Verdana"/>
                <w:noProof/>
                <w:sz w:val="20"/>
                <w:szCs w:val="20"/>
                <w:lang w:eastAsia="en-GB"/>
              </w:rPr>
            </w:pPr>
            <w:r w:rsidRPr="00277DAA">
              <w:rPr>
                <w:rFonts w:ascii="Verdana" w:hAnsi="Verdana"/>
                <w:noProof/>
                <w:sz w:val="20"/>
                <w:szCs w:val="20"/>
                <w:lang w:eastAsia="en-GB"/>
              </w:rPr>
              <w:t>Build an organisational culture that recognises, champions and celebrates EDI in everything it does. Create an inclusive working environment which allows people to be themselves at work.</w:t>
            </w:r>
          </w:p>
        </w:tc>
        <w:tc>
          <w:tcPr>
            <w:tcW w:w="7796" w:type="dxa"/>
          </w:tcPr>
          <w:p w:rsidR="00C727BD" w:rsidRPr="00277DAA" w:rsidRDefault="00C727BD" w:rsidP="00C727BD">
            <w:pPr>
              <w:pStyle w:val="ListParagraph"/>
              <w:numPr>
                <w:ilvl w:val="0"/>
                <w:numId w:val="4"/>
              </w:numPr>
              <w:tabs>
                <w:tab w:val="left" w:pos="1275"/>
              </w:tabs>
              <w:rPr>
                <w:rFonts w:ascii="Verdana" w:hAnsi="Verdana"/>
                <w:sz w:val="20"/>
                <w:szCs w:val="20"/>
              </w:rPr>
            </w:pPr>
            <w:r>
              <w:rPr>
                <w:rFonts w:ascii="Verdana" w:hAnsi="Verdana"/>
                <w:sz w:val="20"/>
                <w:szCs w:val="20"/>
              </w:rPr>
              <w:t>Create a culture where</w:t>
            </w:r>
            <w:r w:rsidRPr="00277DAA">
              <w:rPr>
                <w:rFonts w:ascii="Verdana" w:hAnsi="Verdana"/>
                <w:sz w:val="20"/>
                <w:szCs w:val="20"/>
              </w:rPr>
              <w:t xml:space="preserve"> EDI is at the heart of everything we do</w:t>
            </w:r>
          </w:p>
          <w:p w:rsidR="00C727BD" w:rsidRDefault="00C727BD" w:rsidP="00C727BD">
            <w:pPr>
              <w:pStyle w:val="ListParagraph"/>
              <w:numPr>
                <w:ilvl w:val="0"/>
                <w:numId w:val="4"/>
              </w:numPr>
              <w:tabs>
                <w:tab w:val="left" w:pos="1275"/>
              </w:tabs>
              <w:rPr>
                <w:rFonts w:ascii="Verdana" w:hAnsi="Verdana"/>
                <w:sz w:val="20"/>
                <w:szCs w:val="20"/>
              </w:rPr>
            </w:pPr>
            <w:r w:rsidRPr="00277DAA">
              <w:rPr>
                <w:rFonts w:ascii="Verdana" w:hAnsi="Verdana"/>
                <w:sz w:val="20"/>
                <w:szCs w:val="20"/>
              </w:rPr>
              <w:t xml:space="preserve">Provide education to explain what </w:t>
            </w:r>
            <w:r>
              <w:rPr>
                <w:rFonts w:ascii="Verdana" w:hAnsi="Verdana"/>
                <w:sz w:val="20"/>
                <w:szCs w:val="20"/>
              </w:rPr>
              <w:t>e</w:t>
            </w:r>
            <w:r w:rsidRPr="00277DAA">
              <w:rPr>
                <w:rFonts w:ascii="Verdana" w:hAnsi="Verdana"/>
                <w:sz w:val="20"/>
                <w:szCs w:val="20"/>
              </w:rPr>
              <w:t xml:space="preserve">quality, </w:t>
            </w:r>
            <w:r>
              <w:rPr>
                <w:rFonts w:ascii="Verdana" w:hAnsi="Verdana"/>
                <w:sz w:val="20"/>
                <w:szCs w:val="20"/>
              </w:rPr>
              <w:t>d</w:t>
            </w:r>
            <w:r w:rsidRPr="00277DAA">
              <w:rPr>
                <w:rFonts w:ascii="Verdana" w:hAnsi="Verdana"/>
                <w:sz w:val="20"/>
                <w:szCs w:val="20"/>
              </w:rPr>
              <w:t xml:space="preserve">iversity &amp; </w:t>
            </w:r>
            <w:r>
              <w:rPr>
                <w:rFonts w:ascii="Verdana" w:hAnsi="Verdana"/>
                <w:sz w:val="20"/>
                <w:szCs w:val="20"/>
              </w:rPr>
              <w:t>i</w:t>
            </w:r>
            <w:r w:rsidRPr="00277DAA">
              <w:rPr>
                <w:rFonts w:ascii="Verdana" w:hAnsi="Verdana"/>
                <w:sz w:val="20"/>
                <w:szCs w:val="20"/>
              </w:rPr>
              <w:t>nclusion mean</w:t>
            </w:r>
          </w:p>
          <w:p w:rsidR="00C727BD" w:rsidRPr="00277DAA" w:rsidRDefault="00C727BD" w:rsidP="00C727BD">
            <w:pPr>
              <w:pStyle w:val="ListParagraph"/>
              <w:numPr>
                <w:ilvl w:val="0"/>
                <w:numId w:val="4"/>
              </w:numPr>
              <w:tabs>
                <w:tab w:val="left" w:pos="1275"/>
              </w:tabs>
              <w:rPr>
                <w:rFonts w:ascii="Verdana" w:hAnsi="Verdana"/>
                <w:sz w:val="20"/>
                <w:szCs w:val="20"/>
              </w:rPr>
            </w:pPr>
            <w:r>
              <w:rPr>
                <w:rFonts w:ascii="Verdana" w:hAnsi="Verdana"/>
                <w:sz w:val="20"/>
                <w:szCs w:val="20"/>
              </w:rPr>
              <w:t>Recognise and share the benefits of a diverse and inclusive workforce</w:t>
            </w:r>
          </w:p>
        </w:tc>
      </w:tr>
      <w:tr w:rsidR="00C727BD" w:rsidRPr="00277DAA" w:rsidTr="00CE00EE">
        <w:trPr>
          <w:trHeight w:val="1026"/>
        </w:trPr>
        <w:tc>
          <w:tcPr>
            <w:tcW w:w="2041" w:type="dxa"/>
          </w:tcPr>
          <w:p w:rsidR="00C727BD" w:rsidRPr="00277DAA" w:rsidRDefault="00C727BD" w:rsidP="00CE00EE">
            <w:pPr>
              <w:tabs>
                <w:tab w:val="left" w:pos="1275"/>
              </w:tabs>
              <w:rPr>
                <w:rFonts w:ascii="Verdana" w:hAnsi="Verdana"/>
                <w:b/>
                <w:sz w:val="20"/>
                <w:szCs w:val="20"/>
              </w:rPr>
            </w:pPr>
            <w:r w:rsidRPr="00277DAA">
              <w:rPr>
                <w:rFonts w:ascii="Verdana" w:hAnsi="Verdana"/>
                <w:b/>
                <w:sz w:val="20"/>
                <w:szCs w:val="20"/>
              </w:rPr>
              <w:t>FAIR TREATMENT</w:t>
            </w:r>
          </w:p>
        </w:tc>
        <w:tc>
          <w:tcPr>
            <w:tcW w:w="4333" w:type="dxa"/>
          </w:tcPr>
          <w:p w:rsidR="00C727BD" w:rsidRPr="00277DAA" w:rsidRDefault="00C727BD" w:rsidP="00CE00EE">
            <w:pPr>
              <w:tabs>
                <w:tab w:val="left" w:pos="1275"/>
              </w:tabs>
              <w:rPr>
                <w:rFonts w:ascii="Verdana" w:hAnsi="Verdana"/>
                <w:noProof/>
                <w:sz w:val="20"/>
                <w:szCs w:val="20"/>
                <w:lang w:eastAsia="en-GB"/>
              </w:rPr>
            </w:pPr>
            <w:r w:rsidRPr="00277DAA">
              <w:rPr>
                <w:rFonts w:ascii="Verdana" w:hAnsi="Verdana"/>
                <w:noProof/>
                <w:sz w:val="20"/>
                <w:szCs w:val="20"/>
                <w:lang w:eastAsia="en-GB"/>
              </w:rPr>
              <w:t>Commit to preventing discrimination and promoting equality of opportunity and fair treatment in our employment practices and the way we delivery our services.</w:t>
            </w:r>
          </w:p>
        </w:tc>
        <w:tc>
          <w:tcPr>
            <w:tcW w:w="7796" w:type="dxa"/>
          </w:tcPr>
          <w:p w:rsidR="00C727BD" w:rsidRPr="00277DAA" w:rsidRDefault="00C727BD" w:rsidP="00C727BD">
            <w:pPr>
              <w:pStyle w:val="ListParagraph"/>
              <w:numPr>
                <w:ilvl w:val="0"/>
                <w:numId w:val="5"/>
              </w:numPr>
              <w:tabs>
                <w:tab w:val="left" w:pos="1275"/>
              </w:tabs>
              <w:rPr>
                <w:rFonts w:ascii="Verdana" w:hAnsi="Verdana"/>
                <w:sz w:val="20"/>
                <w:szCs w:val="20"/>
              </w:rPr>
            </w:pPr>
            <w:r w:rsidRPr="00277DAA">
              <w:rPr>
                <w:rFonts w:ascii="Verdana" w:hAnsi="Verdana"/>
                <w:sz w:val="20"/>
                <w:szCs w:val="20"/>
              </w:rPr>
              <w:t xml:space="preserve">Review </w:t>
            </w:r>
            <w:r>
              <w:rPr>
                <w:rFonts w:ascii="Verdana" w:hAnsi="Verdana"/>
                <w:sz w:val="20"/>
                <w:szCs w:val="20"/>
              </w:rPr>
              <w:t xml:space="preserve">all </w:t>
            </w:r>
            <w:r w:rsidRPr="00277DAA">
              <w:rPr>
                <w:rFonts w:ascii="Verdana" w:hAnsi="Verdana"/>
                <w:sz w:val="20"/>
                <w:szCs w:val="20"/>
              </w:rPr>
              <w:t>ou</w:t>
            </w:r>
            <w:r>
              <w:rPr>
                <w:rFonts w:ascii="Verdana" w:hAnsi="Verdana"/>
                <w:sz w:val="20"/>
                <w:szCs w:val="20"/>
              </w:rPr>
              <w:t>r</w:t>
            </w:r>
            <w:r w:rsidRPr="00277DAA">
              <w:rPr>
                <w:rFonts w:ascii="Verdana" w:hAnsi="Verdana"/>
                <w:sz w:val="20"/>
                <w:szCs w:val="20"/>
              </w:rPr>
              <w:t xml:space="preserve"> </w:t>
            </w:r>
            <w:r>
              <w:rPr>
                <w:rFonts w:ascii="Verdana" w:hAnsi="Verdana"/>
                <w:sz w:val="20"/>
                <w:szCs w:val="20"/>
              </w:rPr>
              <w:t>HR</w:t>
            </w:r>
            <w:r w:rsidRPr="00277DAA">
              <w:rPr>
                <w:rFonts w:ascii="Verdana" w:hAnsi="Verdana"/>
                <w:sz w:val="20"/>
                <w:szCs w:val="20"/>
              </w:rPr>
              <w:t xml:space="preserve"> policies to ensure they are accessible</w:t>
            </w:r>
          </w:p>
          <w:p w:rsidR="00C727BD" w:rsidRPr="00277DAA" w:rsidRDefault="00C727BD" w:rsidP="00C727BD">
            <w:pPr>
              <w:pStyle w:val="ListParagraph"/>
              <w:numPr>
                <w:ilvl w:val="0"/>
                <w:numId w:val="5"/>
              </w:numPr>
              <w:tabs>
                <w:tab w:val="left" w:pos="1275"/>
              </w:tabs>
              <w:rPr>
                <w:rFonts w:ascii="Verdana" w:hAnsi="Verdana"/>
                <w:sz w:val="20"/>
                <w:szCs w:val="20"/>
              </w:rPr>
            </w:pPr>
            <w:r w:rsidRPr="00277DAA">
              <w:rPr>
                <w:rFonts w:ascii="Verdana" w:hAnsi="Verdana"/>
                <w:sz w:val="20"/>
                <w:szCs w:val="20"/>
              </w:rPr>
              <w:t>Provide education around the types of protection provided by the Equality Act 2010</w:t>
            </w:r>
          </w:p>
        </w:tc>
      </w:tr>
      <w:tr w:rsidR="00C727BD" w:rsidRPr="00277DAA" w:rsidTr="00CE00EE">
        <w:trPr>
          <w:trHeight w:val="1026"/>
        </w:trPr>
        <w:tc>
          <w:tcPr>
            <w:tcW w:w="2041" w:type="dxa"/>
          </w:tcPr>
          <w:p w:rsidR="00C727BD" w:rsidRPr="00277DAA" w:rsidRDefault="00C727BD" w:rsidP="00CE00EE">
            <w:pPr>
              <w:tabs>
                <w:tab w:val="left" w:pos="1275"/>
              </w:tabs>
              <w:rPr>
                <w:rFonts w:ascii="Verdana" w:hAnsi="Verdana"/>
                <w:b/>
                <w:sz w:val="20"/>
                <w:szCs w:val="20"/>
              </w:rPr>
            </w:pPr>
            <w:r w:rsidRPr="00277DAA">
              <w:rPr>
                <w:rFonts w:ascii="Verdana" w:hAnsi="Verdana"/>
                <w:b/>
                <w:sz w:val="20"/>
                <w:szCs w:val="20"/>
              </w:rPr>
              <w:t>INCLUSIVE SERVICES</w:t>
            </w:r>
          </w:p>
        </w:tc>
        <w:tc>
          <w:tcPr>
            <w:tcW w:w="4333" w:type="dxa"/>
          </w:tcPr>
          <w:p w:rsidR="00C727BD" w:rsidRPr="00277DAA" w:rsidRDefault="00C727BD" w:rsidP="00CE00EE">
            <w:pPr>
              <w:tabs>
                <w:tab w:val="left" w:pos="1275"/>
              </w:tabs>
              <w:rPr>
                <w:rFonts w:ascii="Verdana" w:hAnsi="Verdana"/>
                <w:noProof/>
                <w:sz w:val="20"/>
                <w:szCs w:val="20"/>
                <w:lang w:eastAsia="en-GB"/>
              </w:rPr>
            </w:pPr>
            <w:r w:rsidRPr="00277DAA">
              <w:rPr>
                <w:rFonts w:ascii="Verdana" w:hAnsi="Verdana"/>
                <w:noProof/>
                <w:sz w:val="20"/>
                <w:szCs w:val="20"/>
                <w:lang w:eastAsia="en-GB"/>
              </w:rPr>
              <w:t xml:space="preserve">Provide inclusive and culturally appropriate services. </w:t>
            </w:r>
          </w:p>
          <w:p w:rsidR="00C727BD" w:rsidRPr="00277DAA" w:rsidRDefault="00C727BD" w:rsidP="00CE00EE">
            <w:pPr>
              <w:tabs>
                <w:tab w:val="left" w:pos="1275"/>
              </w:tabs>
              <w:rPr>
                <w:rFonts w:ascii="Verdana" w:hAnsi="Verdana"/>
                <w:noProof/>
                <w:sz w:val="20"/>
                <w:szCs w:val="20"/>
                <w:lang w:eastAsia="en-GB"/>
              </w:rPr>
            </w:pPr>
            <w:r w:rsidRPr="00277DAA">
              <w:rPr>
                <w:rFonts w:ascii="Verdana" w:hAnsi="Verdana"/>
                <w:noProof/>
                <w:sz w:val="20"/>
                <w:szCs w:val="20"/>
                <w:lang w:eastAsia="en-GB"/>
              </w:rPr>
              <w:t xml:space="preserve">Aim to ensure we understand the needs of our communities and the barriers they may face in accessing our services. </w:t>
            </w:r>
          </w:p>
          <w:p w:rsidR="00C727BD" w:rsidRPr="00277DAA" w:rsidRDefault="00C727BD" w:rsidP="00CE00EE">
            <w:pPr>
              <w:tabs>
                <w:tab w:val="left" w:pos="1275"/>
              </w:tabs>
              <w:rPr>
                <w:rFonts w:ascii="Verdana" w:hAnsi="Verdana"/>
                <w:noProof/>
                <w:sz w:val="20"/>
                <w:szCs w:val="20"/>
                <w:lang w:eastAsia="en-GB"/>
              </w:rPr>
            </w:pPr>
            <w:r w:rsidRPr="00277DAA">
              <w:rPr>
                <w:rFonts w:ascii="Verdana" w:hAnsi="Verdana"/>
                <w:noProof/>
                <w:sz w:val="20"/>
                <w:szCs w:val="20"/>
                <w:lang w:eastAsia="en-GB"/>
              </w:rPr>
              <w:t xml:space="preserve">Ensure our services are </w:t>
            </w:r>
            <w:r>
              <w:rPr>
                <w:rFonts w:ascii="Verdana" w:hAnsi="Verdana"/>
                <w:noProof/>
                <w:sz w:val="20"/>
                <w:szCs w:val="20"/>
                <w:lang w:eastAsia="en-GB"/>
              </w:rPr>
              <w:t>accessible</w:t>
            </w:r>
            <w:r w:rsidRPr="00277DAA">
              <w:rPr>
                <w:rFonts w:ascii="Verdana" w:hAnsi="Verdana"/>
                <w:noProof/>
                <w:sz w:val="20"/>
                <w:szCs w:val="20"/>
                <w:lang w:eastAsia="en-GB"/>
              </w:rPr>
              <w:t xml:space="preserve"> and delivered without discrimination or exclusion.</w:t>
            </w:r>
          </w:p>
        </w:tc>
        <w:tc>
          <w:tcPr>
            <w:tcW w:w="7796" w:type="dxa"/>
          </w:tcPr>
          <w:p w:rsidR="00C727BD" w:rsidRPr="00277DAA" w:rsidRDefault="00C727BD" w:rsidP="00C727BD">
            <w:pPr>
              <w:pStyle w:val="ListParagraph"/>
              <w:numPr>
                <w:ilvl w:val="0"/>
                <w:numId w:val="6"/>
              </w:numPr>
              <w:tabs>
                <w:tab w:val="left" w:pos="1275"/>
              </w:tabs>
              <w:rPr>
                <w:rFonts w:ascii="Verdana" w:hAnsi="Verdana"/>
                <w:sz w:val="20"/>
                <w:szCs w:val="20"/>
              </w:rPr>
            </w:pPr>
            <w:r w:rsidRPr="00277DAA">
              <w:rPr>
                <w:rFonts w:ascii="Verdana" w:hAnsi="Verdana"/>
                <w:sz w:val="20"/>
                <w:szCs w:val="20"/>
              </w:rPr>
              <w:t>Utilise the NFCC’s maturity model self-assessment tool</w:t>
            </w:r>
            <w:r>
              <w:rPr>
                <w:rFonts w:ascii="Verdana" w:hAnsi="Verdana"/>
                <w:sz w:val="20"/>
                <w:szCs w:val="20"/>
              </w:rPr>
              <w:t xml:space="preserve"> to understand our current offer and measure our ambitions</w:t>
            </w:r>
          </w:p>
          <w:p w:rsidR="00C727BD" w:rsidRDefault="00C727BD" w:rsidP="00C727BD">
            <w:pPr>
              <w:pStyle w:val="ListParagraph"/>
              <w:numPr>
                <w:ilvl w:val="0"/>
                <w:numId w:val="6"/>
              </w:numPr>
              <w:tabs>
                <w:tab w:val="left" w:pos="1275"/>
              </w:tabs>
              <w:rPr>
                <w:rFonts w:ascii="Verdana" w:hAnsi="Verdana"/>
                <w:sz w:val="20"/>
                <w:szCs w:val="20"/>
              </w:rPr>
            </w:pPr>
            <w:r w:rsidRPr="00277DAA">
              <w:rPr>
                <w:rFonts w:ascii="Verdana" w:hAnsi="Verdana"/>
                <w:sz w:val="20"/>
                <w:szCs w:val="20"/>
              </w:rPr>
              <w:t>Provide services that are accessible and cater for everyone</w:t>
            </w:r>
          </w:p>
          <w:p w:rsidR="00C727BD" w:rsidRPr="00277DAA" w:rsidRDefault="00C727BD" w:rsidP="00C727BD">
            <w:pPr>
              <w:pStyle w:val="ListParagraph"/>
              <w:numPr>
                <w:ilvl w:val="0"/>
                <w:numId w:val="6"/>
              </w:numPr>
              <w:tabs>
                <w:tab w:val="left" w:pos="1275"/>
              </w:tabs>
              <w:rPr>
                <w:rFonts w:ascii="Verdana" w:hAnsi="Verdana"/>
                <w:sz w:val="20"/>
                <w:szCs w:val="20"/>
              </w:rPr>
            </w:pPr>
            <w:r>
              <w:rPr>
                <w:rFonts w:ascii="Verdana" w:hAnsi="Verdana"/>
                <w:sz w:val="20"/>
                <w:szCs w:val="20"/>
              </w:rPr>
              <w:t>Identify gaps in community partnerships</w:t>
            </w:r>
          </w:p>
        </w:tc>
      </w:tr>
      <w:tr w:rsidR="00C727BD" w:rsidRPr="00277DAA" w:rsidTr="00CE00EE">
        <w:trPr>
          <w:trHeight w:val="1026"/>
        </w:trPr>
        <w:tc>
          <w:tcPr>
            <w:tcW w:w="2041" w:type="dxa"/>
          </w:tcPr>
          <w:p w:rsidR="00C727BD" w:rsidRPr="00277DAA" w:rsidRDefault="00C727BD" w:rsidP="00CE00EE">
            <w:pPr>
              <w:tabs>
                <w:tab w:val="left" w:pos="1275"/>
              </w:tabs>
              <w:rPr>
                <w:rFonts w:ascii="Verdana" w:hAnsi="Verdana"/>
                <w:b/>
                <w:sz w:val="20"/>
                <w:szCs w:val="20"/>
              </w:rPr>
            </w:pPr>
            <w:r w:rsidRPr="00277DAA">
              <w:rPr>
                <w:rFonts w:ascii="Verdana" w:hAnsi="Verdana"/>
                <w:b/>
                <w:sz w:val="20"/>
                <w:szCs w:val="20"/>
              </w:rPr>
              <w:t>ENGAGING COMMUNITIES</w:t>
            </w:r>
          </w:p>
        </w:tc>
        <w:tc>
          <w:tcPr>
            <w:tcW w:w="4333" w:type="dxa"/>
          </w:tcPr>
          <w:p w:rsidR="00C727BD" w:rsidRPr="00277DAA" w:rsidRDefault="00C727BD" w:rsidP="00CE00EE">
            <w:pPr>
              <w:autoSpaceDE w:val="0"/>
              <w:autoSpaceDN w:val="0"/>
              <w:adjustRightInd w:val="0"/>
              <w:spacing w:line="241" w:lineRule="atLeast"/>
              <w:rPr>
                <w:rFonts w:ascii="Verdana" w:hAnsi="Verdana"/>
                <w:sz w:val="20"/>
                <w:szCs w:val="20"/>
              </w:rPr>
            </w:pPr>
            <w:r w:rsidRPr="00277DAA">
              <w:rPr>
                <w:rFonts w:ascii="Verdana" w:hAnsi="Verdana"/>
                <w:bCs/>
                <w:sz w:val="20"/>
                <w:szCs w:val="20"/>
              </w:rPr>
              <w:t xml:space="preserve">Continue to develop awareness of how to effectively engage with and understand our communities’ needs, to ensure our services reach all communities. </w:t>
            </w:r>
          </w:p>
        </w:tc>
        <w:tc>
          <w:tcPr>
            <w:tcW w:w="7796" w:type="dxa"/>
          </w:tcPr>
          <w:p w:rsidR="00C727BD" w:rsidRDefault="00C727BD" w:rsidP="00C727BD">
            <w:pPr>
              <w:pStyle w:val="ListParagraph"/>
              <w:numPr>
                <w:ilvl w:val="0"/>
                <w:numId w:val="7"/>
              </w:numPr>
              <w:tabs>
                <w:tab w:val="left" w:pos="1275"/>
              </w:tabs>
              <w:rPr>
                <w:rFonts w:ascii="Verdana" w:hAnsi="Verdana"/>
                <w:sz w:val="20"/>
                <w:szCs w:val="20"/>
              </w:rPr>
            </w:pPr>
            <w:r w:rsidRPr="00277DAA">
              <w:rPr>
                <w:rFonts w:ascii="Verdana" w:hAnsi="Verdana"/>
                <w:sz w:val="20"/>
                <w:szCs w:val="20"/>
              </w:rPr>
              <w:t>Provide education around how we can engage appropriately with all our communities</w:t>
            </w:r>
          </w:p>
          <w:p w:rsidR="00C727BD" w:rsidRPr="00277DAA" w:rsidRDefault="00C727BD" w:rsidP="00C727BD">
            <w:pPr>
              <w:pStyle w:val="ListParagraph"/>
              <w:numPr>
                <w:ilvl w:val="0"/>
                <w:numId w:val="7"/>
              </w:numPr>
              <w:tabs>
                <w:tab w:val="left" w:pos="1275"/>
              </w:tabs>
              <w:rPr>
                <w:rFonts w:ascii="Verdana" w:hAnsi="Verdana"/>
                <w:sz w:val="20"/>
                <w:szCs w:val="20"/>
              </w:rPr>
            </w:pPr>
            <w:r>
              <w:rPr>
                <w:rFonts w:ascii="Verdana" w:hAnsi="Verdana"/>
                <w:sz w:val="20"/>
                <w:szCs w:val="20"/>
              </w:rPr>
              <w:t xml:space="preserve">Actively engage with communities in a variety of ways and share good practice across the service </w:t>
            </w:r>
          </w:p>
        </w:tc>
      </w:tr>
    </w:tbl>
    <w:p w:rsidR="00C727BD" w:rsidRDefault="00C727BD" w:rsidP="00C727BD">
      <w:pPr>
        <w:tabs>
          <w:tab w:val="left" w:pos="1275"/>
        </w:tabs>
        <w:rPr>
          <w:rFonts w:ascii="Verdana" w:hAnsi="Verdana"/>
        </w:rPr>
      </w:pPr>
    </w:p>
    <w:tbl>
      <w:tblPr>
        <w:tblStyle w:val="TableGrid"/>
        <w:tblW w:w="13948" w:type="dxa"/>
        <w:tblLook w:val="04A0" w:firstRow="1" w:lastRow="0" w:firstColumn="1" w:lastColumn="0" w:noHBand="0" w:noVBand="1"/>
      </w:tblPr>
      <w:tblGrid>
        <w:gridCol w:w="1466"/>
        <w:gridCol w:w="3916"/>
        <w:gridCol w:w="5823"/>
        <w:gridCol w:w="1372"/>
        <w:gridCol w:w="1371"/>
      </w:tblGrid>
      <w:tr w:rsidR="00C727BD" w:rsidRPr="00CA2BDC" w:rsidTr="00CE00EE">
        <w:trPr>
          <w:cantSplit/>
          <w:trHeight w:val="558"/>
        </w:trPr>
        <w:tc>
          <w:tcPr>
            <w:tcW w:w="1466" w:type="dxa"/>
          </w:tcPr>
          <w:p w:rsidR="00C727BD" w:rsidRPr="00CA2BDC" w:rsidRDefault="00C727BD" w:rsidP="00CE00EE">
            <w:pPr>
              <w:tabs>
                <w:tab w:val="left" w:pos="1275"/>
              </w:tabs>
              <w:rPr>
                <w:rFonts w:ascii="Verdana" w:hAnsi="Verdana"/>
                <w:b/>
                <w:sz w:val="20"/>
                <w:szCs w:val="20"/>
              </w:rPr>
            </w:pPr>
            <w:r w:rsidRPr="00CA2BDC">
              <w:rPr>
                <w:rFonts w:ascii="Verdana" w:hAnsi="Verdana"/>
                <w:b/>
                <w:sz w:val="20"/>
                <w:szCs w:val="20"/>
              </w:rPr>
              <w:lastRenderedPageBreak/>
              <w:t>OBJECTIVE</w:t>
            </w:r>
          </w:p>
        </w:tc>
        <w:tc>
          <w:tcPr>
            <w:tcW w:w="3916" w:type="dxa"/>
          </w:tcPr>
          <w:p w:rsidR="00C727BD" w:rsidRPr="00CA2BDC" w:rsidRDefault="00C727BD" w:rsidP="00CE00EE">
            <w:pPr>
              <w:tabs>
                <w:tab w:val="left" w:pos="1275"/>
              </w:tabs>
              <w:rPr>
                <w:rFonts w:ascii="Verdana" w:hAnsi="Verdana"/>
                <w:b/>
                <w:sz w:val="20"/>
                <w:szCs w:val="20"/>
              </w:rPr>
            </w:pPr>
            <w:r w:rsidRPr="00CA2BDC">
              <w:rPr>
                <w:rFonts w:ascii="Verdana" w:hAnsi="Verdana"/>
                <w:b/>
                <w:sz w:val="20"/>
                <w:szCs w:val="20"/>
              </w:rPr>
              <w:t>EDI GOAL</w:t>
            </w:r>
          </w:p>
        </w:tc>
        <w:tc>
          <w:tcPr>
            <w:tcW w:w="5823" w:type="dxa"/>
          </w:tcPr>
          <w:p w:rsidR="00C727BD" w:rsidRPr="00CA2BDC" w:rsidRDefault="00C727BD" w:rsidP="00CE00EE">
            <w:pPr>
              <w:tabs>
                <w:tab w:val="left" w:pos="1275"/>
              </w:tabs>
              <w:rPr>
                <w:rFonts w:ascii="Verdana" w:hAnsi="Verdana"/>
                <w:b/>
                <w:sz w:val="20"/>
                <w:szCs w:val="20"/>
              </w:rPr>
            </w:pPr>
            <w:r w:rsidRPr="00CA2BDC">
              <w:rPr>
                <w:rFonts w:ascii="Verdana" w:hAnsi="Verdana"/>
                <w:b/>
                <w:sz w:val="20"/>
                <w:szCs w:val="20"/>
              </w:rPr>
              <w:t>EDI ACTION – 2022 - 2023</w:t>
            </w:r>
          </w:p>
        </w:tc>
        <w:tc>
          <w:tcPr>
            <w:tcW w:w="1372" w:type="dxa"/>
          </w:tcPr>
          <w:p w:rsidR="00C727BD" w:rsidRPr="00CA2BDC" w:rsidRDefault="00C727BD" w:rsidP="00CE00EE">
            <w:pPr>
              <w:tabs>
                <w:tab w:val="left" w:pos="1275"/>
              </w:tabs>
              <w:rPr>
                <w:rFonts w:ascii="Verdana" w:hAnsi="Verdana"/>
                <w:b/>
                <w:sz w:val="20"/>
                <w:szCs w:val="20"/>
              </w:rPr>
            </w:pPr>
            <w:r>
              <w:rPr>
                <w:rFonts w:ascii="Verdana" w:hAnsi="Verdana"/>
                <w:b/>
                <w:sz w:val="20"/>
                <w:szCs w:val="20"/>
              </w:rPr>
              <w:t>LEAD</w:t>
            </w:r>
          </w:p>
        </w:tc>
        <w:tc>
          <w:tcPr>
            <w:tcW w:w="1371" w:type="dxa"/>
          </w:tcPr>
          <w:p w:rsidR="00C727BD" w:rsidRPr="00CA2BDC" w:rsidRDefault="00C727BD" w:rsidP="00CE00EE">
            <w:pPr>
              <w:tabs>
                <w:tab w:val="left" w:pos="1275"/>
              </w:tabs>
              <w:rPr>
                <w:rFonts w:ascii="Verdana" w:hAnsi="Verdana"/>
                <w:b/>
                <w:sz w:val="20"/>
                <w:szCs w:val="20"/>
              </w:rPr>
            </w:pPr>
            <w:r w:rsidRPr="00CA2BDC">
              <w:rPr>
                <w:rFonts w:ascii="Verdana" w:hAnsi="Verdana"/>
                <w:b/>
                <w:sz w:val="20"/>
                <w:szCs w:val="20"/>
              </w:rPr>
              <w:t>WHEN</w:t>
            </w:r>
          </w:p>
        </w:tc>
      </w:tr>
      <w:tr w:rsidR="00C727BD" w:rsidRPr="00CA2BDC" w:rsidTr="00CE00EE">
        <w:trPr>
          <w:cantSplit/>
          <w:trHeight w:val="687"/>
        </w:trPr>
        <w:tc>
          <w:tcPr>
            <w:tcW w:w="1466" w:type="dxa"/>
            <w:vMerge w:val="restart"/>
            <w:textDirection w:val="btLr"/>
          </w:tcPr>
          <w:p w:rsidR="00C727BD" w:rsidRPr="00CA2BDC" w:rsidRDefault="00C727BD" w:rsidP="00CE00EE">
            <w:pPr>
              <w:tabs>
                <w:tab w:val="left" w:pos="1275"/>
              </w:tabs>
              <w:ind w:left="113" w:right="113"/>
              <w:rPr>
                <w:rFonts w:ascii="Verdana" w:hAnsi="Verdana"/>
                <w:b/>
                <w:sz w:val="20"/>
                <w:szCs w:val="20"/>
              </w:rPr>
            </w:pPr>
            <w:r w:rsidRPr="00CA2BDC">
              <w:rPr>
                <w:rFonts w:ascii="Verdana" w:hAnsi="Verdana"/>
                <w:b/>
                <w:sz w:val="20"/>
                <w:szCs w:val="20"/>
              </w:rPr>
              <w:t>IMPROVING DIVERSITY</w:t>
            </w:r>
          </w:p>
        </w:tc>
        <w:tc>
          <w:tcPr>
            <w:tcW w:w="3916" w:type="dxa"/>
          </w:tcPr>
          <w:p w:rsidR="00C727BD" w:rsidRPr="00CA2BDC" w:rsidRDefault="00C727BD" w:rsidP="00CE00EE">
            <w:pPr>
              <w:tabs>
                <w:tab w:val="left" w:pos="1275"/>
              </w:tabs>
              <w:rPr>
                <w:rFonts w:ascii="Verdana" w:hAnsi="Verdana"/>
                <w:sz w:val="20"/>
                <w:szCs w:val="20"/>
              </w:rPr>
            </w:pPr>
            <w:r>
              <w:rPr>
                <w:rFonts w:ascii="Verdana" w:hAnsi="Verdana"/>
                <w:sz w:val="20"/>
                <w:szCs w:val="20"/>
              </w:rPr>
              <w:t>Develop</w:t>
            </w:r>
            <w:r w:rsidRPr="00CA2BDC">
              <w:rPr>
                <w:rFonts w:ascii="Verdana" w:hAnsi="Verdana"/>
                <w:sz w:val="20"/>
                <w:szCs w:val="20"/>
              </w:rPr>
              <w:t xml:space="preserve"> a diverse and representative workforce</w:t>
            </w:r>
            <w:r>
              <w:rPr>
                <w:rFonts w:ascii="Verdana" w:hAnsi="Verdana"/>
                <w:sz w:val="20"/>
                <w:szCs w:val="20"/>
              </w:rPr>
              <w:t>.</w:t>
            </w:r>
            <w:r w:rsidRPr="00CA2BDC">
              <w:rPr>
                <w:rFonts w:ascii="Verdana" w:hAnsi="Verdana"/>
                <w:sz w:val="20"/>
                <w:szCs w:val="20"/>
              </w:rPr>
              <w:t xml:space="preserve"> </w:t>
            </w:r>
          </w:p>
        </w:tc>
        <w:tc>
          <w:tcPr>
            <w:tcW w:w="5823"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Monitor</w:t>
            </w:r>
            <w:r>
              <w:rPr>
                <w:rFonts w:ascii="Verdana" w:hAnsi="Verdana"/>
                <w:sz w:val="20"/>
                <w:szCs w:val="20"/>
              </w:rPr>
              <w:t xml:space="preserve"> and improve</w:t>
            </w:r>
            <w:r w:rsidRPr="00CA2BDC">
              <w:rPr>
                <w:rFonts w:ascii="Verdana" w:hAnsi="Verdana"/>
                <w:sz w:val="20"/>
                <w:szCs w:val="20"/>
              </w:rPr>
              <w:t xml:space="preserve"> the representation across the workforce</w:t>
            </w:r>
            <w:r>
              <w:rPr>
                <w:rFonts w:ascii="Verdana" w:hAnsi="Verdana"/>
                <w:sz w:val="20"/>
                <w:szCs w:val="20"/>
              </w:rPr>
              <w:t>.</w:t>
            </w:r>
          </w:p>
        </w:tc>
        <w:tc>
          <w:tcPr>
            <w:tcW w:w="1372"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HR –</w:t>
            </w:r>
            <w:r>
              <w:rPr>
                <w:rFonts w:ascii="Verdana" w:hAnsi="Verdana"/>
                <w:sz w:val="20"/>
                <w:szCs w:val="20"/>
              </w:rPr>
              <w:t xml:space="preserve"> EDI &amp; DATA TEAM</w:t>
            </w:r>
          </w:p>
        </w:tc>
        <w:tc>
          <w:tcPr>
            <w:tcW w:w="1371" w:type="dxa"/>
          </w:tcPr>
          <w:p w:rsidR="00C727BD" w:rsidRPr="00CA2BDC" w:rsidRDefault="00C727BD" w:rsidP="00CE00EE">
            <w:pPr>
              <w:tabs>
                <w:tab w:val="left" w:pos="1275"/>
              </w:tabs>
              <w:rPr>
                <w:rFonts w:ascii="Verdana" w:hAnsi="Verdana"/>
                <w:sz w:val="20"/>
                <w:szCs w:val="20"/>
              </w:rPr>
            </w:pPr>
            <w:r>
              <w:rPr>
                <w:rFonts w:ascii="Verdana" w:hAnsi="Verdana"/>
                <w:sz w:val="20"/>
                <w:szCs w:val="20"/>
              </w:rPr>
              <w:t>Annually</w:t>
            </w:r>
          </w:p>
        </w:tc>
      </w:tr>
      <w:tr w:rsidR="00C727BD" w:rsidRPr="00CA2BDC" w:rsidTr="00CE00EE">
        <w:trPr>
          <w:cantSplit/>
          <w:trHeight w:val="674"/>
        </w:trPr>
        <w:tc>
          <w:tcPr>
            <w:tcW w:w="1466" w:type="dxa"/>
            <w:vMerge/>
            <w:textDirection w:val="btLr"/>
          </w:tcPr>
          <w:p w:rsidR="00C727BD" w:rsidRPr="00CA2BDC" w:rsidRDefault="00C727BD" w:rsidP="00CE00EE">
            <w:pPr>
              <w:tabs>
                <w:tab w:val="left" w:pos="1275"/>
              </w:tabs>
              <w:ind w:left="113" w:right="113"/>
              <w:rPr>
                <w:rFonts w:ascii="Verdana" w:hAnsi="Verdana"/>
                <w:sz w:val="20"/>
                <w:szCs w:val="20"/>
              </w:rPr>
            </w:pPr>
          </w:p>
        </w:tc>
        <w:tc>
          <w:tcPr>
            <w:tcW w:w="3916"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Retain and value a diverse workforce.</w:t>
            </w:r>
          </w:p>
        </w:tc>
        <w:tc>
          <w:tcPr>
            <w:tcW w:w="5823" w:type="dxa"/>
          </w:tcPr>
          <w:p w:rsidR="00C727BD" w:rsidRPr="00CA2BDC" w:rsidRDefault="00C727BD" w:rsidP="00CE00EE">
            <w:pPr>
              <w:tabs>
                <w:tab w:val="left" w:pos="1275"/>
              </w:tabs>
              <w:rPr>
                <w:rFonts w:ascii="Verdana" w:hAnsi="Verdana"/>
                <w:sz w:val="20"/>
                <w:szCs w:val="20"/>
              </w:rPr>
            </w:pPr>
            <w:r>
              <w:rPr>
                <w:rFonts w:ascii="Verdana" w:hAnsi="Verdana"/>
                <w:sz w:val="20"/>
                <w:szCs w:val="20"/>
              </w:rPr>
              <w:t xml:space="preserve">Monitor and improve retention from underrepresented groups </w:t>
            </w:r>
            <w:r w:rsidRPr="00CA2BDC">
              <w:rPr>
                <w:rFonts w:ascii="Verdana" w:hAnsi="Verdana"/>
                <w:sz w:val="20"/>
                <w:szCs w:val="20"/>
              </w:rPr>
              <w:t>across the workforce</w:t>
            </w:r>
            <w:r>
              <w:rPr>
                <w:rFonts w:ascii="Verdana" w:hAnsi="Verdana"/>
                <w:sz w:val="20"/>
                <w:szCs w:val="20"/>
              </w:rPr>
              <w:t>.</w:t>
            </w:r>
          </w:p>
        </w:tc>
        <w:tc>
          <w:tcPr>
            <w:tcW w:w="1372"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HR –</w:t>
            </w:r>
            <w:r>
              <w:rPr>
                <w:rFonts w:ascii="Verdana" w:hAnsi="Verdana"/>
                <w:sz w:val="20"/>
                <w:szCs w:val="20"/>
              </w:rPr>
              <w:t xml:space="preserve"> EDI &amp; DATA TEAM</w:t>
            </w:r>
          </w:p>
        </w:tc>
        <w:tc>
          <w:tcPr>
            <w:tcW w:w="1371" w:type="dxa"/>
          </w:tcPr>
          <w:p w:rsidR="00C727BD" w:rsidRPr="00CA2BDC" w:rsidRDefault="00C727BD" w:rsidP="00CE00EE">
            <w:pPr>
              <w:tabs>
                <w:tab w:val="left" w:pos="1275"/>
              </w:tabs>
              <w:rPr>
                <w:rFonts w:ascii="Verdana" w:hAnsi="Verdana"/>
                <w:sz w:val="20"/>
                <w:szCs w:val="20"/>
              </w:rPr>
            </w:pPr>
            <w:r>
              <w:rPr>
                <w:rFonts w:ascii="Verdana" w:hAnsi="Verdana"/>
                <w:sz w:val="20"/>
                <w:szCs w:val="20"/>
              </w:rPr>
              <w:t>Annually</w:t>
            </w:r>
          </w:p>
        </w:tc>
      </w:tr>
      <w:tr w:rsidR="00C727BD" w:rsidRPr="00CA2BDC" w:rsidTr="00CE00EE">
        <w:trPr>
          <w:cantSplit/>
          <w:trHeight w:val="740"/>
        </w:trPr>
        <w:tc>
          <w:tcPr>
            <w:tcW w:w="1466" w:type="dxa"/>
            <w:vMerge/>
            <w:textDirection w:val="btLr"/>
          </w:tcPr>
          <w:p w:rsidR="00C727BD" w:rsidRPr="00CA2BDC" w:rsidRDefault="00C727BD" w:rsidP="00CE00EE">
            <w:pPr>
              <w:tabs>
                <w:tab w:val="left" w:pos="1275"/>
              </w:tabs>
              <w:ind w:left="113" w:right="113"/>
              <w:rPr>
                <w:rFonts w:ascii="Verdana" w:hAnsi="Verdana"/>
                <w:sz w:val="20"/>
                <w:szCs w:val="20"/>
              </w:rPr>
            </w:pPr>
          </w:p>
        </w:tc>
        <w:tc>
          <w:tcPr>
            <w:tcW w:w="3916"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Be v</w:t>
            </w:r>
            <w:r>
              <w:rPr>
                <w:rFonts w:ascii="Verdana" w:hAnsi="Verdana"/>
                <w:sz w:val="20"/>
                <w:szCs w:val="20"/>
              </w:rPr>
              <w:t>iewed</w:t>
            </w:r>
            <w:r w:rsidRPr="00CA2BDC">
              <w:rPr>
                <w:rFonts w:ascii="Verdana" w:hAnsi="Verdana"/>
                <w:sz w:val="20"/>
                <w:szCs w:val="20"/>
              </w:rPr>
              <w:t xml:space="preserve"> as an employer of choice.</w:t>
            </w:r>
          </w:p>
        </w:tc>
        <w:tc>
          <w:tcPr>
            <w:tcW w:w="5823" w:type="dxa"/>
          </w:tcPr>
          <w:p w:rsidR="00C727BD" w:rsidRPr="00CA2BDC" w:rsidRDefault="00C727BD" w:rsidP="00CE00EE">
            <w:pPr>
              <w:tabs>
                <w:tab w:val="left" w:pos="1275"/>
              </w:tabs>
              <w:rPr>
                <w:rFonts w:ascii="Verdana" w:hAnsi="Verdana"/>
                <w:sz w:val="20"/>
                <w:szCs w:val="20"/>
              </w:rPr>
            </w:pPr>
            <w:r>
              <w:rPr>
                <w:rFonts w:ascii="Verdana" w:hAnsi="Verdana"/>
                <w:sz w:val="20"/>
                <w:szCs w:val="20"/>
              </w:rPr>
              <w:t>Review how attractive we are to applicants from underrepresented groups and identify relevant actions to improve.</w:t>
            </w:r>
          </w:p>
        </w:tc>
        <w:tc>
          <w:tcPr>
            <w:tcW w:w="1372" w:type="dxa"/>
          </w:tcPr>
          <w:p w:rsidR="00C727BD" w:rsidRPr="00CA2BDC" w:rsidRDefault="00C727BD" w:rsidP="00CE00EE">
            <w:pPr>
              <w:tabs>
                <w:tab w:val="left" w:pos="1275"/>
              </w:tabs>
              <w:rPr>
                <w:rFonts w:ascii="Verdana" w:hAnsi="Verdana"/>
                <w:sz w:val="20"/>
                <w:szCs w:val="20"/>
              </w:rPr>
            </w:pPr>
            <w:r>
              <w:rPr>
                <w:rFonts w:ascii="Verdana" w:hAnsi="Verdana"/>
                <w:sz w:val="20"/>
                <w:szCs w:val="20"/>
              </w:rPr>
              <w:t>HR</w:t>
            </w:r>
          </w:p>
        </w:tc>
        <w:tc>
          <w:tcPr>
            <w:tcW w:w="1371" w:type="dxa"/>
          </w:tcPr>
          <w:p w:rsidR="00C727BD" w:rsidRPr="00CA2BDC" w:rsidRDefault="00C727BD" w:rsidP="00CE00EE">
            <w:pPr>
              <w:tabs>
                <w:tab w:val="left" w:pos="1275"/>
              </w:tabs>
              <w:rPr>
                <w:rFonts w:ascii="Verdana" w:hAnsi="Verdana"/>
                <w:sz w:val="20"/>
                <w:szCs w:val="20"/>
              </w:rPr>
            </w:pPr>
            <w:r>
              <w:rPr>
                <w:rFonts w:ascii="Verdana" w:hAnsi="Verdana"/>
                <w:sz w:val="20"/>
                <w:szCs w:val="20"/>
              </w:rPr>
              <w:t>June 2023</w:t>
            </w:r>
          </w:p>
        </w:tc>
      </w:tr>
      <w:tr w:rsidR="00C727BD" w:rsidRPr="00CA2BDC" w:rsidTr="00CE00EE">
        <w:trPr>
          <w:cantSplit/>
          <w:trHeight w:val="695"/>
        </w:trPr>
        <w:tc>
          <w:tcPr>
            <w:tcW w:w="1466" w:type="dxa"/>
            <w:vMerge w:val="restart"/>
            <w:textDirection w:val="btLr"/>
          </w:tcPr>
          <w:p w:rsidR="00C727BD" w:rsidRPr="00CA2BDC" w:rsidRDefault="00C727BD" w:rsidP="00CE00EE">
            <w:pPr>
              <w:tabs>
                <w:tab w:val="left" w:pos="1275"/>
              </w:tabs>
              <w:ind w:left="113" w:right="113"/>
              <w:rPr>
                <w:rFonts w:ascii="Verdana" w:hAnsi="Verdana"/>
                <w:b/>
                <w:sz w:val="20"/>
                <w:szCs w:val="20"/>
              </w:rPr>
            </w:pPr>
            <w:r w:rsidRPr="00CA2BDC">
              <w:rPr>
                <w:rFonts w:ascii="Verdana" w:hAnsi="Verdana"/>
                <w:b/>
                <w:sz w:val="20"/>
                <w:szCs w:val="20"/>
              </w:rPr>
              <w:t>INCLUSIVE CULTURE</w:t>
            </w:r>
          </w:p>
        </w:tc>
        <w:tc>
          <w:tcPr>
            <w:tcW w:w="3916" w:type="dxa"/>
          </w:tcPr>
          <w:p w:rsidR="00C727BD" w:rsidRPr="00CA2BDC" w:rsidRDefault="00C727BD" w:rsidP="00CE00EE">
            <w:pPr>
              <w:tabs>
                <w:tab w:val="left" w:pos="1275"/>
              </w:tabs>
              <w:rPr>
                <w:rFonts w:ascii="Verdana" w:hAnsi="Verdana"/>
                <w:sz w:val="20"/>
                <w:szCs w:val="20"/>
              </w:rPr>
            </w:pPr>
            <w:r>
              <w:rPr>
                <w:rFonts w:ascii="Verdana" w:hAnsi="Verdana"/>
                <w:sz w:val="20"/>
                <w:szCs w:val="20"/>
              </w:rPr>
              <w:t>Create a culture where</w:t>
            </w:r>
            <w:r w:rsidRPr="00CA2BDC">
              <w:rPr>
                <w:rFonts w:ascii="Verdana" w:hAnsi="Verdana"/>
                <w:sz w:val="20"/>
                <w:szCs w:val="20"/>
              </w:rPr>
              <w:t xml:space="preserve"> EDI </w:t>
            </w:r>
            <w:r>
              <w:rPr>
                <w:rFonts w:ascii="Verdana" w:hAnsi="Verdana"/>
                <w:sz w:val="20"/>
                <w:szCs w:val="20"/>
              </w:rPr>
              <w:t xml:space="preserve">is </w:t>
            </w:r>
            <w:r w:rsidRPr="00CA2BDC">
              <w:rPr>
                <w:rFonts w:ascii="Verdana" w:hAnsi="Verdana"/>
                <w:sz w:val="20"/>
                <w:szCs w:val="20"/>
              </w:rPr>
              <w:t>at the heart of everything we do.</w:t>
            </w:r>
          </w:p>
        </w:tc>
        <w:tc>
          <w:tcPr>
            <w:tcW w:w="5823"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Review our Personal Review system to incorporate</w:t>
            </w:r>
            <w:r>
              <w:rPr>
                <w:rFonts w:ascii="Verdana" w:hAnsi="Verdana"/>
                <w:sz w:val="20"/>
                <w:szCs w:val="20"/>
              </w:rPr>
              <w:t xml:space="preserve"> an</w:t>
            </w:r>
            <w:r w:rsidRPr="00CA2BDC">
              <w:rPr>
                <w:rFonts w:ascii="Verdana" w:hAnsi="Verdana"/>
                <w:sz w:val="20"/>
                <w:szCs w:val="20"/>
              </w:rPr>
              <w:t xml:space="preserve"> EDI</w:t>
            </w:r>
            <w:r>
              <w:rPr>
                <w:rFonts w:ascii="Verdana" w:hAnsi="Verdana"/>
                <w:sz w:val="20"/>
                <w:szCs w:val="20"/>
              </w:rPr>
              <w:t xml:space="preserve"> discussion and at least one objective for all employees</w:t>
            </w:r>
            <w:r w:rsidRPr="00CA2BDC">
              <w:rPr>
                <w:rFonts w:ascii="Verdana" w:hAnsi="Verdana"/>
                <w:sz w:val="20"/>
                <w:szCs w:val="20"/>
              </w:rPr>
              <w:t>.</w:t>
            </w:r>
          </w:p>
        </w:tc>
        <w:tc>
          <w:tcPr>
            <w:tcW w:w="1372"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HR - OD</w:t>
            </w:r>
          </w:p>
        </w:tc>
        <w:tc>
          <w:tcPr>
            <w:tcW w:w="1371" w:type="dxa"/>
          </w:tcPr>
          <w:p w:rsidR="00C727BD" w:rsidRPr="00CA2BDC" w:rsidRDefault="00C727BD" w:rsidP="00CE00EE">
            <w:pPr>
              <w:tabs>
                <w:tab w:val="left" w:pos="1275"/>
              </w:tabs>
              <w:rPr>
                <w:rFonts w:ascii="Verdana" w:hAnsi="Verdana"/>
                <w:sz w:val="20"/>
                <w:szCs w:val="20"/>
              </w:rPr>
            </w:pPr>
            <w:r>
              <w:rPr>
                <w:rFonts w:ascii="Verdana" w:hAnsi="Verdana"/>
                <w:sz w:val="20"/>
                <w:szCs w:val="20"/>
              </w:rPr>
              <w:t>August 2022</w:t>
            </w:r>
          </w:p>
        </w:tc>
      </w:tr>
      <w:tr w:rsidR="00C727BD" w:rsidRPr="00CA2BDC" w:rsidTr="00CE00EE">
        <w:trPr>
          <w:cantSplit/>
          <w:trHeight w:val="1130"/>
        </w:trPr>
        <w:tc>
          <w:tcPr>
            <w:tcW w:w="1466" w:type="dxa"/>
            <w:vMerge/>
            <w:textDirection w:val="btLr"/>
          </w:tcPr>
          <w:p w:rsidR="00C727BD" w:rsidRPr="00CA2BDC" w:rsidRDefault="00C727BD" w:rsidP="00CE00EE">
            <w:pPr>
              <w:tabs>
                <w:tab w:val="left" w:pos="1275"/>
              </w:tabs>
              <w:ind w:left="113" w:right="113"/>
              <w:rPr>
                <w:rFonts w:ascii="Verdana" w:hAnsi="Verdana"/>
                <w:sz w:val="20"/>
                <w:szCs w:val="20"/>
              </w:rPr>
            </w:pPr>
          </w:p>
        </w:tc>
        <w:tc>
          <w:tcPr>
            <w:tcW w:w="3916"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 xml:space="preserve">Provide education to explain what </w:t>
            </w:r>
            <w:r>
              <w:rPr>
                <w:rFonts w:ascii="Verdana" w:hAnsi="Verdana"/>
                <w:sz w:val="20"/>
                <w:szCs w:val="20"/>
              </w:rPr>
              <w:t>e</w:t>
            </w:r>
            <w:r w:rsidRPr="00CA2BDC">
              <w:rPr>
                <w:rFonts w:ascii="Verdana" w:hAnsi="Verdana"/>
                <w:sz w:val="20"/>
                <w:szCs w:val="20"/>
              </w:rPr>
              <w:t xml:space="preserve">quality, </w:t>
            </w:r>
            <w:r>
              <w:rPr>
                <w:rFonts w:ascii="Verdana" w:hAnsi="Verdana"/>
                <w:sz w:val="20"/>
                <w:szCs w:val="20"/>
              </w:rPr>
              <w:t>d</w:t>
            </w:r>
            <w:r w:rsidRPr="00CA2BDC">
              <w:rPr>
                <w:rFonts w:ascii="Verdana" w:hAnsi="Verdana"/>
                <w:sz w:val="20"/>
                <w:szCs w:val="20"/>
              </w:rPr>
              <w:t xml:space="preserve">iversity &amp; </w:t>
            </w:r>
            <w:r>
              <w:rPr>
                <w:rFonts w:ascii="Verdana" w:hAnsi="Verdana"/>
                <w:sz w:val="20"/>
                <w:szCs w:val="20"/>
              </w:rPr>
              <w:t>i</w:t>
            </w:r>
            <w:r w:rsidRPr="00CA2BDC">
              <w:rPr>
                <w:rFonts w:ascii="Verdana" w:hAnsi="Verdana"/>
                <w:sz w:val="20"/>
                <w:szCs w:val="20"/>
              </w:rPr>
              <w:t>nclusion mean.</w:t>
            </w:r>
          </w:p>
        </w:tc>
        <w:tc>
          <w:tcPr>
            <w:tcW w:w="5823"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Update the terminology used across all HR platforms.</w:t>
            </w:r>
          </w:p>
          <w:p w:rsidR="00C727BD" w:rsidRDefault="00C727BD" w:rsidP="00CE00EE">
            <w:pPr>
              <w:tabs>
                <w:tab w:val="left" w:pos="1275"/>
              </w:tabs>
              <w:rPr>
                <w:rFonts w:ascii="Verdana" w:hAnsi="Verdana"/>
                <w:sz w:val="20"/>
                <w:szCs w:val="20"/>
              </w:rPr>
            </w:pPr>
          </w:p>
          <w:p w:rsidR="00C727BD" w:rsidRDefault="00C727BD" w:rsidP="00CE00EE">
            <w:pPr>
              <w:tabs>
                <w:tab w:val="left" w:pos="1275"/>
              </w:tabs>
              <w:rPr>
                <w:rFonts w:ascii="Verdana" w:hAnsi="Verdana"/>
                <w:sz w:val="20"/>
                <w:szCs w:val="20"/>
              </w:rPr>
            </w:pPr>
            <w:r w:rsidRPr="00CA2BDC">
              <w:rPr>
                <w:rFonts w:ascii="Verdana" w:hAnsi="Verdana"/>
                <w:sz w:val="20"/>
                <w:szCs w:val="20"/>
              </w:rPr>
              <w:t>Work with Corporate Communications to begin conversations around “What EDI means to me”.</w:t>
            </w:r>
          </w:p>
          <w:p w:rsidR="00754056" w:rsidRDefault="00754056" w:rsidP="00CE00EE">
            <w:pPr>
              <w:tabs>
                <w:tab w:val="left" w:pos="1275"/>
              </w:tabs>
              <w:rPr>
                <w:rFonts w:ascii="Verdana" w:hAnsi="Verdana"/>
                <w:sz w:val="20"/>
                <w:szCs w:val="20"/>
              </w:rPr>
            </w:pPr>
          </w:p>
          <w:p w:rsidR="00754056" w:rsidRPr="00CA2BDC" w:rsidRDefault="00754056" w:rsidP="003860C1">
            <w:pPr>
              <w:rPr>
                <w:rFonts w:ascii="Verdana" w:hAnsi="Verdana"/>
                <w:sz w:val="20"/>
                <w:szCs w:val="20"/>
              </w:rPr>
            </w:pPr>
          </w:p>
        </w:tc>
        <w:tc>
          <w:tcPr>
            <w:tcW w:w="1372"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HR - ER</w:t>
            </w:r>
          </w:p>
          <w:p w:rsidR="00C727BD" w:rsidRPr="00CA2BDC" w:rsidRDefault="00C727BD" w:rsidP="00CE00EE">
            <w:pPr>
              <w:tabs>
                <w:tab w:val="left" w:pos="1275"/>
              </w:tabs>
              <w:rPr>
                <w:rFonts w:ascii="Verdana" w:hAnsi="Verdana"/>
                <w:sz w:val="20"/>
                <w:szCs w:val="20"/>
              </w:rPr>
            </w:pPr>
          </w:p>
          <w:p w:rsidR="00C727BD" w:rsidRPr="00CA2BDC" w:rsidRDefault="00C727BD" w:rsidP="00CE00EE">
            <w:pPr>
              <w:tabs>
                <w:tab w:val="left" w:pos="1275"/>
              </w:tabs>
              <w:rPr>
                <w:rFonts w:ascii="Verdana" w:hAnsi="Verdana"/>
                <w:sz w:val="20"/>
                <w:szCs w:val="20"/>
              </w:rPr>
            </w:pPr>
          </w:p>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HR – EDI &amp; CC</w:t>
            </w:r>
          </w:p>
        </w:tc>
        <w:tc>
          <w:tcPr>
            <w:tcW w:w="1371" w:type="dxa"/>
          </w:tcPr>
          <w:p w:rsidR="00C727BD" w:rsidRDefault="00C727BD" w:rsidP="00CE00EE">
            <w:pPr>
              <w:tabs>
                <w:tab w:val="left" w:pos="1275"/>
              </w:tabs>
              <w:rPr>
                <w:rFonts w:ascii="Verdana" w:hAnsi="Verdana"/>
                <w:sz w:val="20"/>
                <w:szCs w:val="20"/>
              </w:rPr>
            </w:pPr>
            <w:r>
              <w:rPr>
                <w:rFonts w:ascii="Verdana" w:hAnsi="Verdana"/>
                <w:sz w:val="20"/>
                <w:szCs w:val="20"/>
              </w:rPr>
              <w:t>December 2022</w:t>
            </w:r>
          </w:p>
          <w:p w:rsidR="00C727BD" w:rsidRDefault="00C727BD" w:rsidP="00CE00EE">
            <w:pPr>
              <w:tabs>
                <w:tab w:val="left" w:pos="1275"/>
              </w:tabs>
              <w:rPr>
                <w:rFonts w:ascii="Verdana" w:hAnsi="Verdana"/>
                <w:sz w:val="20"/>
                <w:szCs w:val="20"/>
              </w:rPr>
            </w:pPr>
          </w:p>
          <w:p w:rsidR="00C727BD" w:rsidRPr="00CA2BDC" w:rsidRDefault="00C727BD" w:rsidP="00CE00EE">
            <w:pPr>
              <w:tabs>
                <w:tab w:val="left" w:pos="1275"/>
              </w:tabs>
              <w:rPr>
                <w:rFonts w:ascii="Verdana" w:hAnsi="Verdana"/>
                <w:sz w:val="20"/>
                <w:szCs w:val="20"/>
              </w:rPr>
            </w:pPr>
            <w:r>
              <w:rPr>
                <w:rFonts w:ascii="Verdana" w:hAnsi="Verdana"/>
                <w:sz w:val="20"/>
                <w:szCs w:val="20"/>
              </w:rPr>
              <w:t>July 2022</w:t>
            </w:r>
          </w:p>
        </w:tc>
      </w:tr>
      <w:tr w:rsidR="00C727BD" w:rsidRPr="00CA2BDC" w:rsidTr="00CE00EE">
        <w:trPr>
          <w:cantSplit/>
          <w:trHeight w:val="638"/>
        </w:trPr>
        <w:tc>
          <w:tcPr>
            <w:tcW w:w="1466" w:type="dxa"/>
            <w:vMerge w:val="restart"/>
            <w:textDirection w:val="btLr"/>
          </w:tcPr>
          <w:p w:rsidR="00C727BD" w:rsidRDefault="00C727BD" w:rsidP="00CE00EE">
            <w:pPr>
              <w:tabs>
                <w:tab w:val="left" w:pos="1275"/>
              </w:tabs>
              <w:ind w:left="113" w:right="113"/>
              <w:rPr>
                <w:rFonts w:ascii="Verdana" w:hAnsi="Verdana"/>
                <w:b/>
                <w:sz w:val="20"/>
                <w:szCs w:val="20"/>
              </w:rPr>
            </w:pPr>
            <w:r w:rsidRPr="00CA2BDC">
              <w:rPr>
                <w:rFonts w:ascii="Verdana" w:hAnsi="Verdana"/>
                <w:b/>
                <w:sz w:val="20"/>
                <w:szCs w:val="20"/>
              </w:rPr>
              <w:t>FAIR T</w:t>
            </w:r>
          </w:p>
          <w:p w:rsidR="00C727BD" w:rsidRPr="00CA2BDC" w:rsidRDefault="00C727BD" w:rsidP="00CE00EE">
            <w:pPr>
              <w:tabs>
                <w:tab w:val="left" w:pos="1275"/>
              </w:tabs>
              <w:ind w:left="113" w:right="113"/>
              <w:rPr>
                <w:rFonts w:ascii="Verdana" w:hAnsi="Verdana"/>
                <w:b/>
                <w:sz w:val="20"/>
                <w:szCs w:val="20"/>
              </w:rPr>
            </w:pPr>
            <w:r w:rsidRPr="00CA2BDC">
              <w:rPr>
                <w:rFonts w:ascii="Verdana" w:hAnsi="Verdana"/>
                <w:b/>
                <w:sz w:val="20"/>
                <w:szCs w:val="20"/>
              </w:rPr>
              <w:t>REATMENT</w:t>
            </w:r>
          </w:p>
        </w:tc>
        <w:tc>
          <w:tcPr>
            <w:tcW w:w="3916"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 xml:space="preserve">Review </w:t>
            </w:r>
            <w:r>
              <w:rPr>
                <w:rFonts w:ascii="Verdana" w:hAnsi="Verdana"/>
                <w:sz w:val="20"/>
                <w:szCs w:val="20"/>
              </w:rPr>
              <w:t xml:space="preserve">all </w:t>
            </w:r>
            <w:r w:rsidRPr="00CA2BDC">
              <w:rPr>
                <w:rFonts w:ascii="Verdana" w:hAnsi="Verdana"/>
                <w:sz w:val="20"/>
                <w:szCs w:val="20"/>
              </w:rPr>
              <w:t xml:space="preserve">our </w:t>
            </w:r>
            <w:r>
              <w:rPr>
                <w:rFonts w:ascii="Verdana" w:hAnsi="Verdana"/>
                <w:sz w:val="20"/>
                <w:szCs w:val="20"/>
              </w:rPr>
              <w:t>HR</w:t>
            </w:r>
            <w:r w:rsidRPr="00CA2BDC">
              <w:rPr>
                <w:rFonts w:ascii="Verdana" w:hAnsi="Verdana"/>
                <w:sz w:val="20"/>
                <w:szCs w:val="20"/>
              </w:rPr>
              <w:t xml:space="preserve"> policies to ensure they are accessible.</w:t>
            </w:r>
          </w:p>
        </w:tc>
        <w:tc>
          <w:tcPr>
            <w:tcW w:w="5823" w:type="dxa"/>
          </w:tcPr>
          <w:p w:rsidR="00C727BD" w:rsidRPr="00CA2BDC" w:rsidRDefault="00C727BD" w:rsidP="00CE00EE">
            <w:pPr>
              <w:tabs>
                <w:tab w:val="left" w:pos="1275"/>
              </w:tabs>
              <w:rPr>
                <w:rFonts w:ascii="Verdana" w:hAnsi="Verdana"/>
                <w:sz w:val="20"/>
                <w:szCs w:val="20"/>
              </w:rPr>
            </w:pPr>
            <w:r>
              <w:rPr>
                <w:rFonts w:ascii="Verdana" w:hAnsi="Verdana"/>
                <w:sz w:val="20"/>
                <w:szCs w:val="20"/>
              </w:rPr>
              <w:t>Ensure our policies are reviewed and appropriate consultation is carried out.</w:t>
            </w:r>
          </w:p>
        </w:tc>
        <w:tc>
          <w:tcPr>
            <w:tcW w:w="1372" w:type="dxa"/>
          </w:tcPr>
          <w:p w:rsidR="00C727BD" w:rsidRDefault="00C727BD" w:rsidP="00CE00EE">
            <w:pPr>
              <w:tabs>
                <w:tab w:val="left" w:pos="1275"/>
              </w:tabs>
              <w:rPr>
                <w:rFonts w:ascii="Verdana" w:hAnsi="Verdana"/>
                <w:sz w:val="20"/>
                <w:szCs w:val="20"/>
              </w:rPr>
            </w:pPr>
            <w:r w:rsidRPr="00CA2BDC">
              <w:rPr>
                <w:rFonts w:ascii="Verdana" w:hAnsi="Verdana"/>
                <w:sz w:val="20"/>
                <w:szCs w:val="20"/>
              </w:rPr>
              <w:t>HR –</w:t>
            </w:r>
            <w:r>
              <w:rPr>
                <w:rFonts w:ascii="Verdana" w:hAnsi="Verdana"/>
                <w:sz w:val="20"/>
                <w:szCs w:val="20"/>
              </w:rPr>
              <w:t xml:space="preserve"> EDI</w:t>
            </w:r>
          </w:p>
          <w:p w:rsidR="00C727BD" w:rsidRPr="00CA2BDC" w:rsidRDefault="00C727BD" w:rsidP="00CE00EE">
            <w:pPr>
              <w:tabs>
                <w:tab w:val="left" w:pos="1275"/>
              </w:tabs>
              <w:rPr>
                <w:rFonts w:ascii="Verdana" w:hAnsi="Verdana"/>
                <w:sz w:val="20"/>
                <w:szCs w:val="20"/>
              </w:rPr>
            </w:pPr>
          </w:p>
        </w:tc>
        <w:tc>
          <w:tcPr>
            <w:tcW w:w="1371" w:type="dxa"/>
          </w:tcPr>
          <w:p w:rsidR="00C727BD" w:rsidRPr="00CA2BDC" w:rsidRDefault="00C727BD" w:rsidP="00CE00EE">
            <w:pPr>
              <w:tabs>
                <w:tab w:val="left" w:pos="1275"/>
              </w:tabs>
              <w:rPr>
                <w:rFonts w:ascii="Verdana" w:hAnsi="Verdana"/>
                <w:sz w:val="20"/>
                <w:szCs w:val="20"/>
              </w:rPr>
            </w:pPr>
            <w:r>
              <w:rPr>
                <w:rFonts w:ascii="Verdana" w:hAnsi="Verdana"/>
                <w:sz w:val="20"/>
                <w:szCs w:val="20"/>
              </w:rPr>
              <w:t>Annually</w:t>
            </w:r>
          </w:p>
        </w:tc>
      </w:tr>
      <w:tr w:rsidR="00C727BD" w:rsidRPr="00CA2BDC" w:rsidTr="00CE00EE">
        <w:trPr>
          <w:cantSplit/>
          <w:trHeight w:val="1134"/>
        </w:trPr>
        <w:tc>
          <w:tcPr>
            <w:tcW w:w="1466" w:type="dxa"/>
            <w:vMerge/>
            <w:textDirection w:val="btLr"/>
          </w:tcPr>
          <w:p w:rsidR="00C727BD" w:rsidRPr="00CA2BDC" w:rsidRDefault="00C727BD" w:rsidP="00CE00EE">
            <w:pPr>
              <w:tabs>
                <w:tab w:val="left" w:pos="1275"/>
              </w:tabs>
              <w:ind w:left="113" w:right="113"/>
              <w:rPr>
                <w:rFonts w:ascii="Verdana" w:hAnsi="Verdana"/>
                <w:sz w:val="20"/>
                <w:szCs w:val="20"/>
              </w:rPr>
            </w:pPr>
          </w:p>
        </w:tc>
        <w:tc>
          <w:tcPr>
            <w:tcW w:w="3916"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Provide education around the types of protection provided by the Equality Act 2010.</w:t>
            </w:r>
          </w:p>
        </w:tc>
        <w:tc>
          <w:tcPr>
            <w:tcW w:w="5823" w:type="dxa"/>
          </w:tcPr>
          <w:p w:rsidR="00C727BD" w:rsidRDefault="00C727BD" w:rsidP="00CE00EE">
            <w:pPr>
              <w:tabs>
                <w:tab w:val="left" w:pos="1275"/>
              </w:tabs>
              <w:rPr>
                <w:rFonts w:ascii="Verdana" w:hAnsi="Verdana"/>
                <w:sz w:val="20"/>
                <w:szCs w:val="20"/>
              </w:rPr>
            </w:pPr>
            <w:r>
              <w:rPr>
                <w:rFonts w:ascii="Verdana" w:hAnsi="Verdana"/>
                <w:sz w:val="20"/>
                <w:szCs w:val="20"/>
              </w:rPr>
              <w:t>Work with staff groups to agree the areas of education to focus on.</w:t>
            </w:r>
          </w:p>
          <w:p w:rsidR="00C727BD" w:rsidRDefault="00C727BD" w:rsidP="00CE00EE">
            <w:pPr>
              <w:tabs>
                <w:tab w:val="left" w:pos="1275"/>
              </w:tabs>
              <w:rPr>
                <w:rFonts w:ascii="Verdana" w:hAnsi="Verdana"/>
                <w:sz w:val="20"/>
                <w:szCs w:val="20"/>
              </w:rPr>
            </w:pPr>
          </w:p>
          <w:p w:rsidR="00C727BD" w:rsidRDefault="00C727BD" w:rsidP="00CE00EE">
            <w:pPr>
              <w:tabs>
                <w:tab w:val="left" w:pos="1275"/>
              </w:tabs>
              <w:rPr>
                <w:rFonts w:ascii="Verdana" w:hAnsi="Verdana"/>
                <w:sz w:val="20"/>
                <w:szCs w:val="20"/>
              </w:rPr>
            </w:pPr>
            <w:r>
              <w:rPr>
                <w:rFonts w:ascii="Verdana" w:hAnsi="Verdana"/>
                <w:sz w:val="20"/>
                <w:szCs w:val="20"/>
              </w:rPr>
              <w:t>Review our initial training package to determine future areas of training required.</w:t>
            </w:r>
          </w:p>
          <w:p w:rsidR="003860C1" w:rsidRDefault="003860C1" w:rsidP="00CE00EE">
            <w:pPr>
              <w:tabs>
                <w:tab w:val="left" w:pos="1275"/>
              </w:tabs>
              <w:rPr>
                <w:rFonts w:ascii="Verdana" w:hAnsi="Verdana"/>
                <w:sz w:val="20"/>
                <w:szCs w:val="20"/>
              </w:rPr>
            </w:pPr>
          </w:p>
          <w:p w:rsidR="003860C1" w:rsidRPr="00CA2BDC" w:rsidRDefault="003860C1" w:rsidP="00CE00EE">
            <w:pPr>
              <w:tabs>
                <w:tab w:val="left" w:pos="1275"/>
              </w:tabs>
              <w:rPr>
                <w:rFonts w:ascii="Verdana" w:hAnsi="Verdana"/>
                <w:sz w:val="20"/>
                <w:szCs w:val="20"/>
              </w:rPr>
            </w:pPr>
            <w:r w:rsidRPr="003860C1">
              <w:rPr>
                <w:rFonts w:ascii="Verdana" w:hAnsi="Verdana"/>
                <w:sz w:val="20"/>
                <w:szCs w:val="20"/>
              </w:rPr>
              <w:t xml:space="preserve">Monitor the completion rates for EDI </w:t>
            </w:r>
            <w:proofErr w:type="spellStart"/>
            <w:r w:rsidRPr="003860C1">
              <w:rPr>
                <w:rFonts w:ascii="Verdana" w:hAnsi="Verdana"/>
                <w:sz w:val="20"/>
                <w:szCs w:val="20"/>
              </w:rPr>
              <w:t>LearnPro</w:t>
            </w:r>
            <w:proofErr w:type="spellEnd"/>
            <w:r w:rsidRPr="003860C1">
              <w:rPr>
                <w:rFonts w:ascii="Verdana" w:hAnsi="Verdana"/>
                <w:sz w:val="20"/>
                <w:szCs w:val="20"/>
              </w:rPr>
              <w:t xml:space="preserve"> &amp; one day external</w:t>
            </w:r>
            <w:r>
              <w:rPr>
                <w:rFonts w:ascii="Verdana" w:hAnsi="Verdana"/>
                <w:sz w:val="20"/>
                <w:szCs w:val="20"/>
              </w:rPr>
              <w:t xml:space="preserve"> course</w:t>
            </w:r>
          </w:p>
        </w:tc>
        <w:tc>
          <w:tcPr>
            <w:tcW w:w="1372" w:type="dxa"/>
          </w:tcPr>
          <w:p w:rsidR="00C727BD" w:rsidRDefault="00C727BD" w:rsidP="00CE00EE">
            <w:pPr>
              <w:tabs>
                <w:tab w:val="left" w:pos="1275"/>
              </w:tabs>
              <w:rPr>
                <w:rFonts w:ascii="Verdana" w:hAnsi="Verdana"/>
                <w:sz w:val="20"/>
                <w:szCs w:val="20"/>
              </w:rPr>
            </w:pPr>
          </w:p>
          <w:p w:rsidR="00C727BD" w:rsidRDefault="00C727BD" w:rsidP="00CE00EE">
            <w:pPr>
              <w:tabs>
                <w:tab w:val="left" w:pos="1275"/>
              </w:tabs>
              <w:rPr>
                <w:rFonts w:ascii="Verdana" w:hAnsi="Verdana"/>
                <w:sz w:val="20"/>
                <w:szCs w:val="20"/>
              </w:rPr>
            </w:pPr>
            <w:r>
              <w:rPr>
                <w:rFonts w:ascii="Verdana" w:hAnsi="Verdana"/>
                <w:sz w:val="20"/>
                <w:szCs w:val="20"/>
              </w:rPr>
              <w:t>HR &amp; STAFF GROUPS</w:t>
            </w:r>
          </w:p>
          <w:p w:rsidR="003860C1" w:rsidRDefault="003860C1" w:rsidP="00CE00EE">
            <w:pPr>
              <w:tabs>
                <w:tab w:val="left" w:pos="1275"/>
              </w:tabs>
              <w:rPr>
                <w:rFonts w:ascii="Verdana" w:hAnsi="Verdana"/>
                <w:sz w:val="20"/>
                <w:szCs w:val="20"/>
              </w:rPr>
            </w:pPr>
          </w:p>
          <w:p w:rsidR="003860C1" w:rsidRDefault="003860C1" w:rsidP="00CE00EE">
            <w:pPr>
              <w:tabs>
                <w:tab w:val="left" w:pos="1275"/>
              </w:tabs>
              <w:rPr>
                <w:rFonts w:ascii="Verdana" w:hAnsi="Verdana"/>
                <w:sz w:val="20"/>
                <w:szCs w:val="20"/>
              </w:rPr>
            </w:pPr>
          </w:p>
          <w:p w:rsidR="003860C1" w:rsidRDefault="003860C1" w:rsidP="00CE00EE">
            <w:pPr>
              <w:tabs>
                <w:tab w:val="left" w:pos="1275"/>
              </w:tabs>
              <w:rPr>
                <w:rFonts w:ascii="Verdana" w:hAnsi="Verdana"/>
                <w:sz w:val="20"/>
                <w:szCs w:val="20"/>
              </w:rPr>
            </w:pPr>
            <w:r>
              <w:rPr>
                <w:rFonts w:ascii="Verdana" w:hAnsi="Verdana"/>
                <w:sz w:val="20"/>
                <w:szCs w:val="20"/>
              </w:rPr>
              <w:t>HR</w:t>
            </w:r>
          </w:p>
          <w:p w:rsidR="003860C1" w:rsidRPr="00CA2BDC" w:rsidRDefault="003860C1" w:rsidP="00CE00EE">
            <w:pPr>
              <w:tabs>
                <w:tab w:val="left" w:pos="1275"/>
              </w:tabs>
              <w:rPr>
                <w:rFonts w:ascii="Verdana" w:hAnsi="Verdana"/>
                <w:sz w:val="20"/>
                <w:szCs w:val="20"/>
              </w:rPr>
            </w:pPr>
          </w:p>
        </w:tc>
        <w:tc>
          <w:tcPr>
            <w:tcW w:w="1371" w:type="dxa"/>
          </w:tcPr>
          <w:p w:rsidR="00C727BD" w:rsidRDefault="00C727BD" w:rsidP="00CE00EE">
            <w:pPr>
              <w:tabs>
                <w:tab w:val="left" w:pos="1275"/>
              </w:tabs>
              <w:rPr>
                <w:rFonts w:ascii="Verdana" w:hAnsi="Verdana"/>
                <w:sz w:val="20"/>
                <w:szCs w:val="20"/>
              </w:rPr>
            </w:pPr>
            <w:r>
              <w:rPr>
                <w:rFonts w:ascii="Verdana" w:hAnsi="Verdana"/>
                <w:sz w:val="20"/>
                <w:szCs w:val="20"/>
              </w:rPr>
              <w:t>September 2022</w:t>
            </w:r>
          </w:p>
          <w:p w:rsidR="00C727BD" w:rsidRDefault="00C727BD" w:rsidP="00CE00EE">
            <w:pPr>
              <w:tabs>
                <w:tab w:val="left" w:pos="1275"/>
              </w:tabs>
              <w:rPr>
                <w:rFonts w:ascii="Verdana" w:hAnsi="Verdana"/>
                <w:sz w:val="20"/>
                <w:szCs w:val="20"/>
              </w:rPr>
            </w:pPr>
          </w:p>
          <w:p w:rsidR="00C727BD" w:rsidRDefault="00C727BD" w:rsidP="00CE00EE">
            <w:pPr>
              <w:tabs>
                <w:tab w:val="left" w:pos="1275"/>
              </w:tabs>
              <w:rPr>
                <w:rFonts w:ascii="Verdana" w:hAnsi="Verdana"/>
                <w:sz w:val="20"/>
                <w:szCs w:val="20"/>
              </w:rPr>
            </w:pPr>
            <w:r>
              <w:rPr>
                <w:rFonts w:ascii="Verdana" w:hAnsi="Verdana"/>
                <w:sz w:val="20"/>
                <w:szCs w:val="20"/>
              </w:rPr>
              <w:t>September</w:t>
            </w:r>
          </w:p>
          <w:p w:rsidR="00C727BD" w:rsidRDefault="00C727BD" w:rsidP="00CE00EE">
            <w:pPr>
              <w:tabs>
                <w:tab w:val="left" w:pos="1275"/>
              </w:tabs>
              <w:rPr>
                <w:rFonts w:ascii="Verdana" w:hAnsi="Verdana"/>
                <w:sz w:val="20"/>
                <w:szCs w:val="20"/>
              </w:rPr>
            </w:pPr>
            <w:r>
              <w:rPr>
                <w:rFonts w:ascii="Verdana" w:hAnsi="Verdana"/>
                <w:sz w:val="20"/>
                <w:szCs w:val="20"/>
              </w:rPr>
              <w:t>2022</w:t>
            </w:r>
          </w:p>
          <w:p w:rsidR="003860C1" w:rsidRDefault="003860C1" w:rsidP="00CE00EE">
            <w:pPr>
              <w:tabs>
                <w:tab w:val="left" w:pos="1275"/>
              </w:tabs>
              <w:rPr>
                <w:rFonts w:ascii="Verdana" w:hAnsi="Verdana"/>
                <w:sz w:val="20"/>
                <w:szCs w:val="20"/>
              </w:rPr>
            </w:pPr>
          </w:p>
          <w:p w:rsidR="003860C1" w:rsidRPr="00CA2BDC" w:rsidRDefault="003860C1" w:rsidP="00CE00EE">
            <w:pPr>
              <w:tabs>
                <w:tab w:val="left" w:pos="1275"/>
              </w:tabs>
              <w:rPr>
                <w:rFonts w:ascii="Verdana" w:hAnsi="Verdana"/>
                <w:sz w:val="20"/>
                <w:szCs w:val="20"/>
              </w:rPr>
            </w:pPr>
            <w:r>
              <w:rPr>
                <w:rFonts w:ascii="Verdana" w:hAnsi="Verdana"/>
                <w:sz w:val="20"/>
                <w:szCs w:val="20"/>
              </w:rPr>
              <w:t>Quarterly</w:t>
            </w:r>
          </w:p>
        </w:tc>
      </w:tr>
      <w:tr w:rsidR="00C727BD" w:rsidRPr="00CA2BDC" w:rsidTr="00CE00EE">
        <w:trPr>
          <w:cantSplit/>
          <w:trHeight w:val="623"/>
        </w:trPr>
        <w:tc>
          <w:tcPr>
            <w:tcW w:w="1466" w:type="dxa"/>
            <w:vMerge w:val="restart"/>
            <w:textDirection w:val="btLr"/>
          </w:tcPr>
          <w:p w:rsidR="00C727BD" w:rsidRPr="00CA2BDC" w:rsidRDefault="00C727BD" w:rsidP="00CE00EE">
            <w:pPr>
              <w:tabs>
                <w:tab w:val="left" w:pos="1275"/>
              </w:tabs>
              <w:ind w:left="113" w:right="113"/>
              <w:rPr>
                <w:rFonts w:ascii="Verdana" w:hAnsi="Verdana"/>
                <w:b/>
                <w:sz w:val="20"/>
                <w:szCs w:val="20"/>
              </w:rPr>
            </w:pPr>
            <w:r w:rsidRPr="00CA2BDC">
              <w:rPr>
                <w:rFonts w:ascii="Verdana" w:hAnsi="Verdana"/>
                <w:b/>
                <w:sz w:val="20"/>
                <w:szCs w:val="20"/>
              </w:rPr>
              <w:t>INCLUSIE SERVICES</w:t>
            </w:r>
          </w:p>
        </w:tc>
        <w:tc>
          <w:tcPr>
            <w:tcW w:w="3916" w:type="dxa"/>
            <w:vMerge w:val="restart"/>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Provide services that are accessible and cater for everyone.</w:t>
            </w:r>
          </w:p>
        </w:tc>
        <w:tc>
          <w:tcPr>
            <w:tcW w:w="5823"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Utilise the NFCC’s maturity model self-assessment tool.</w:t>
            </w:r>
          </w:p>
        </w:tc>
        <w:tc>
          <w:tcPr>
            <w:tcW w:w="1372"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HR –</w:t>
            </w:r>
            <w:r>
              <w:rPr>
                <w:rFonts w:ascii="Verdana" w:hAnsi="Verdana"/>
                <w:sz w:val="20"/>
                <w:szCs w:val="20"/>
              </w:rPr>
              <w:t xml:space="preserve"> EDI</w:t>
            </w:r>
          </w:p>
        </w:tc>
        <w:tc>
          <w:tcPr>
            <w:tcW w:w="1371" w:type="dxa"/>
          </w:tcPr>
          <w:p w:rsidR="00C727BD" w:rsidRPr="00CA2BDC" w:rsidRDefault="00C727BD" w:rsidP="00CE00EE">
            <w:pPr>
              <w:tabs>
                <w:tab w:val="left" w:pos="1275"/>
              </w:tabs>
              <w:rPr>
                <w:rFonts w:ascii="Verdana" w:hAnsi="Verdana"/>
                <w:sz w:val="20"/>
                <w:szCs w:val="20"/>
              </w:rPr>
            </w:pPr>
            <w:r>
              <w:rPr>
                <w:rFonts w:ascii="Verdana" w:hAnsi="Verdana"/>
                <w:sz w:val="20"/>
                <w:szCs w:val="20"/>
              </w:rPr>
              <w:t>July 2022</w:t>
            </w:r>
          </w:p>
        </w:tc>
      </w:tr>
      <w:tr w:rsidR="00C727BD" w:rsidRPr="00CA2BDC" w:rsidTr="00CE00EE">
        <w:trPr>
          <w:cantSplit/>
          <w:trHeight w:val="688"/>
        </w:trPr>
        <w:tc>
          <w:tcPr>
            <w:tcW w:w="1466" w:type="dxa"/>
            <w:vMerge/>
            <w:textDirection w:val="btLr"/>
          </w:tcPr>
          <w:p w:rsidR="00C727BD" w:rsidRPr="00CA2BDC" w:rsidRDefault="00C727BD" w:rsidP="00CE00EE">
            <w:pPr>
              <w:tabs>
                <w:tab w:val="left" w:pos="1275"/>
              </w:tabs>
              <w:ind w:left="113" w:right="113"/>
              <w:rPr>
                <w:rFonts w:ascii="Verdana" w:hAnsi="Verdana"/>
                <w:sz w:val="20"/>
                <w:szCs w:val="20"/>
              </w:rPr>
            </w:pPr>
          </w:p>
        </w:tc>
        <w:tc>
          <w:tcPr>
            <w:tcW w:w="3916" w:type="dxa"/>
            <w:vMerge/>
          </w:tcPr>
          <w:p w:rsidR="00C727BD" w:rsidRPr="00CA2BDC" w:rsidRDefault="00C727BD" w:rsidP="00CE00EE">
            <w:pPr>
              <w:tabs>
                <w:tab w:val="left" w:pos="1275"/>
              </w:tabs>
              <w:rPr>
                <w:rFonts w:ascii="Verdana" w:hAnsi="Verdana"/>
                <w:sz w:val="20"/>
                <w:szCs w:val="20"/>
              </w:rPr>
            </w:pPr>
          </w:p>
        </w:tc>
        <w:tc>
          <w:tcPr>
            <w:tcW w:w="5823" w:type="dxa"/>
          </w:tcPr>
          <w:p w:rsidR="00C727BD" w:rsidRPr="00CA2BDC" w:rsidRDefault="00C727BD" w:rsidP="00CE00EE">
            <w:pPr>
              <w:pStyle w:val="ListParagraph"/>
              <w:tabs>
                <w:tab w:val="left" w:pos="1275"/>
              </w:tabs>
              <w:ind w:left="0"/>
              <w:rPr>
                <w:rFonts w:ascii="Verdana" w:hAnsi="Verdana"/>
                <w:sz w:val="20"/>
                <w:szCs w:val="20"/>
              </w:rPr>
            </w:pPr>
            <w:r>
              <w:rPr>
                <w:rFonts w:ascii="Verdana" w:hAnsi="Verdana"/>
                <w:sz w:val="20"/>
                <w:szCs w:val="20"/>
              </w:rPr>
              <w:t>Utilise data to target the most in need of our services.</w:t>
            </w:r>
          </w:p>
        </w:tc>
        <w:tc>
          <w:tcPr>
            <w:tcW w:w="1372" w:type="dxa"/>
          </w:tcPr>
          <w:p w:rsidR="00C727BD" w:rsidRPr="00CA2BDC" w:rsidRDefault="00C727BD" w:rsidP="00CE00EE">
            <w:pPr>
              <w:tabs>
                <w:tab w:val="left" w:pos="1275"/>
              </w:tabs>
              <w:rPr>
                <w:rFonts w:ascii="Verdana" w:hAnsi="Verdana"/>
                <w:sz w:val="20"/>
                <w:szCs w:val="20"/>
              </w:rPr>
            </w:pPr>
            <w:r>
              <w:rPr>
                <w:rFonts w:ascii="Verdana" w:hAnsi="Verdana"/>
                <w:sz w:val="20"/>
                <w:szCs w:val="20"/>
              </w:rPr>
              <w:t>Community Safety</w:t>
            </w:r>
          </w:p>
        </w:tc>
        <w:tc>
          <w:tcPr>
            <w:tcW w:w="1371" w:type="dxa"/>
          </w:tcPr>
          <w:p w:rsidR="00C727BD" w:rsidRPr="00CA2BDC" w:rsidRDefault="00C727BD" w:rsidP="00CE00EE">
            <w:pPr>
              <w:tabs>
                <w:tab w:val="left" w:pos="1275"/>
              </w:tabs>
              <w:rPr>
                <w:rFonts w:ascii="Verdana" w:hAnsi="Verdana"/>
                <w:sz w:val="20"/>
                <w:szCs w:val="20"/>
              </w:rPr>
            </w:pPr>
            <w:r>
              <w:rPr>
                <w:rFonts w:ascii="Verdana" w:hAnsi="Verdana"/>
                <w:sz w:val="20"/>
                <w:szCs w:val="20"/>
              </w:rPr>
              <w:t>September 2022</w:t>
            </w:r>
          </w:p>
        </w:tc>
      </w:tr>
      <w:tr w:rsidR="00C727BD" w:rsidRPr="00CA2BDC" w:rsidTr="00CE00EE">
        <w:trPr>
          <w:cantSplit/>
          <w:trHeight w:val="557"/>
        </w:trPr>
        <w:tc>
          <w:tcPr>
            <w:tcW w:w="1466" w:type="dxa"/>
            <w:vMerge/>
            <w:textDirection w:val="btLr"/>
          </w:tcPr>
          <w:p w:rsidR="00C727BD" w:rsidRPr="00CA2BDC" w:rsidRDefault="00C727BD" w:rsidP="00CE00EE">
            <w:pPr>
              <w:tabs>
                <w:tab w:val="left" w:pos="1275"/>
              </w:tabs>
              <w:ind w:left="113" w:right="113"/>
              <w:rPr>
                <w:rFonts w:ascii="Verdana" w:hAnsi="Verdana"/>
                <w:sz w:val="20"/>
                <w:szCs w:val="20"/>
              </w:rPr>
            </w:pPr>
          </w:p>
        </w:tc>
        <w:tc>
          <w:tcPr>
            <w:tcW w:w="3916" w:type="dxa"/>
            <w:vMerge/>
          </w:tcPr>
          <w:p w:rsidR="00C727BD" w:rsidRPr="00CA2BDC" w:rsidRDefault="00C727BD" w:rsidP="00CE00EE">
            <w:pPr>
              <w:tabs>
                <w:tab w:val="left" w:pos="1275"/>
              </w:tabs>
              <w:rPr>
                <w:rFonts w:ascii="Verdana" w:hAnsi="Verdana"/>
                <w:sz w:val="20"/>
                <w:szCs w:val="20"/>
              </w:rPr>
            </w:pPr>
          </w:p>
        </w:tc>
        <w:tc>
          <w:tcPr>
            <w:tcW w:w="5823" w:type="dxa"/>
          </w:tcPr>
          <w:p w:rsidR="00C727BD" w:rsidRPr="00CA2BDC" w:rsidRDefault="00C727BD" w:rsidP="00CE00EE">
            <w:pPr>
              <w:pStyle w:val="ListParagraph"/>
              <w:tabs>
                <w:tab w:val="left" w:pos="1275"/>
              </w:tabs>
              <w:ind w:left="0"/>
              <w:rPr>
                <w:rFonts w:ascii="Verdana" w:hAnsi="Verdana"/>
                <w:sz w:val="20"/>
                <w:szCs w:val="20"/>
              </w:rPr>
            </w:pPr>
            <w:r w:rsidRPr="00CA2BDC">
              <w:rPr>
                <w:rFonts w:ascii="Verdana" w:hAnsi="Verdana"/>
                <w:sz w:val="20"/>
                <w:szCs w:val="20"/>
              </w:rPr>
              <w:t xml:space="preserve">Support the </w:t>
            </w:r>
            <w:r>
              <w:rPr>
                <w:rFonts w:ascii="Verdana" w:hAnsi="Verdana"/>
                <w:sz w:val="20"/>
                <w:szCs w:val="20"/>
              </w:rPr>
              <w:t>awareness and understanding</w:t>
            </w:r>
            <w:r w:rsidRPr="00CA2BDC">
              <w:rPr>
                <w:rFonts w:ascii="Verdana" w:hAnsi="Verdana"/>
                <w:sz w:val="20"/>
                <w:szCs w:val="20"/>
              </w:rPr>
              <w:t xml:space="preserve"> of our family friendly policies across the organisation</w:t>
            </w:r>
            <w:r>
              <w:rPr>
                <w:rFonts w:ascii="Verdana" w:hAnsi="Verdana"/>
                <w:sz w:val="20"/>
                <w:szCs w:val="20"/>
              </w:rPr>
              <w:t>.</w:t>
            </w:r>
          </w:p>
        </w:tc>
        <w:tc>
          <w:tcPr>
            <w:tcW w:w="1372"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HR - ER</w:t>
            </w:r>
          </w:p>
          <w:p w:rsidR="00C727BD" w:rsidRPr="00CA2BDC" w:rsidRDefault="00C727BD" w:rsidP="00CE00EE">
            <w:pPr>
              <w:tabs>
                <w:tab w:val="left" w:pos="1275"/>
              </w:tabs>
              <w:rPr>
                <w:rFonts w:ascii="Verdana" w:hAnsi="Verdana"/>
                <w:sz w:val="20"/>
                <w:szCs w:val="20"/>
              </w:rPr>
            </w:pPr>
          </w:p>
        </w:tc>
        <w:tc>
          <w:tcPr>
            <w:tcW w:w="1371" w:type="dxa"/>
          </w:tcPr>
          <w:p w:rsidR="00C727BD" w:rsidRPr="00CA2BDC" w:rsidRDefault="00C727BD" w:rsidP="00CE00EE">
            <w:pPr>
              <w:tabs>
                <w:tab w:val="left" w:pos="1275"/>
              </w:tabs>
              <w:rPr>
                <w:rFonts w:ascii="Verdana" w:hAnsi="Verdana"/>
                <w:sz w:val="20"/>
                <w:szCs w:val="20"/>
              </w:rPr>
            </w:pPr>
            <w:r>
              <w:rPr>
                <w:rFonts w:ascii="Verdana" w:hAnsi="Verdana"/>
                <w:sz w:val="20"/>
                <w:szCs w:val="20"/>
              </w:rPr>
              <w:t>Quarterly</w:t>
            </w:r>
          </w:p>
        </w:tc>
      </w:tr>
      <w:tr w:rsidR="00C727BD" w:rsidRPr="00CA2BDC" w:rsidTr="00CE00EE">
        <w:trPr>
          <w:cantSplit/>
          <w:trHeight w:val="841"/>
        </w:trPr>
        <w:tc>
          <w:tcPr>
            <w:tcW w:w="1466" w:type="dxa"/>
            <w:vMerge w:val="restart"/>
            <w:textDirection w:val="btLr"/>
          </w:tcPr>
          <w:p w:rsidR="00C727BD" w:rsidRPr="00D21537" w:rsidRDefault="00C727BD" w:rsidP="00CE00EE">
            <w:pPr>
              <w:tabs>
                <w:tab w:val="left" w:pos="1275"/>
              </w:tabs>
              <w:ind w:left="113" w:right="113"/>
              <w:rPr>
                <w:rFonts w:ascii="Verdana" w:hAnsi="Verdana"/>
                <w:b/>
                <w:sz w:val="20"/>
                <w:szCs w:val="20"/>
              </w:rPr>
            </w:pPr>
            <w:r w:rsidRPr="00D21537">
              <w:rPr>
                <w:rFonts w:ascii="Verdana" w:hAnsi="Verdana"/>
                <w:b/>
                <w:sz w:val="20"/>
                <w:szCs w:val="20"/>
              </w:rPr>
              <w:t>ENGAGING COMMUNITIES</w:t>
            </w:r>
          </w:p>
        </w:tc>
        <w:tc>
          <w:tcPr>
            <w:tcW w:w="3916" w:type="dxa"/>
          </w:tcPr>
          <w:p w:rsidR="00C727BD" w:rsidRPr="00CA2BDC" w:rsidRDefault="00C727BD" w:rsidP="00CE00EE">
            <w:pPr>
              <w:tabs>
                <w:tab w:val="left" w:pos="1275"/>
              </w:tabs>
              <w:rPr>
                <w:rFonts w:ascii="Verdana" w:hAnsi="Verdana"/>
                <w:sz w:val="20"/>
                <w:szCs w:val="20"/>
              </w:rPr>
            </w:pPr>
            <w:r w:rsidRPr="00CA2BDC">
              <w:rPr>
                <w:rFonts w:ascii="Verdana" w:hAnsi="Verdana"/>
                <w:sz w:val="20"/>
                <w:szCs w:val="20"/>
              </w:rPr>
              <w:t>Provide education around how we can engage appropriately with all our communities.</w:t>
            </w:r>
          </w:p>
        </w:tc>
        <w:tc>
          <w:tcPr>
            <w:tcW w:w="5823" w:type="dxa"/>
          </w:tcPr>
          <w:p w:rsidR="00C727BD" w:rsidRPr="00CA2BDC" w:rsidRDefault="00C727BD" w:rsidP="00CE00EE">
            <w:pPr>
              <w:pStyle w:val="ListParagraph"/>
              <w:tabs>
                <w:tab w:val="left" w:pos="1275"/>
              </w:tabs>
              <w:ind w:left="0"/>
              <w:rPr>
                <w:rFonts w:ascii="Verdana" w:hAnsi="Verdana"/>
                <w:sz w:val="20"/>
                <w:szCs w:val="20"/>
              </w:rPr>
            </w:pPr>
            <w:r w:rsidRPr="00CA2BDC">
              <w:rPr>
                <w:rFonts w:ascii="Verdana" w:hAnsi="Verdana"/>
                <w:sz w:val="20"/>
                <w:szCs w:val="20"/>
              </w:rPr>
              <w:t>Update Community Handbook and communicate across the organisation</w:t>
            </w:r>
            <w:r>
              <w:rPr>
                <w:rFonts w:ascii="Verdana" w:hAnsi="Verdana"/>
                <w:sz w:val="20"/>
                <w:szCs w:val="20"/>
              </w:rPr>
              <w:t>.</w:t>
            </w:r>
          </w:p>
        </w:tc>
        <w:tc>
          <w:tcPr>
            <w:tcW w:w="1372" w:type="dxa"/>
          </w:tcPr>
          <w:p w:rsidR="00C727BD" w:rsidRPr="00CA2BDC" w:rsidRDefault="00C727BD" w:rsidP="00CE00EE">
            <w:pPr>
              <w:tabs>
                <w:tab w:val="left" w:pos="1275"/>
              </w:tabs>
              <w:rPr>
                <w:rFonts w:ascii="Verdana" w:hAnsi="Verdana"/>
                <w:sz w:val="20"/>
                <w:szCs w:val="20"/>
              </w:rPr>
            </w:pPr>
            <w:r>
              <w:rPr>
                <w:rFonts w:ascii="Verdana" w:hAnsi="Verdana"/>
                <w:sz w:val="20"/>
                <w:szCs w:val="20"/>
              </w:rPr>
              <w:t>Community Safety</w:t>
            </w:r>
          </w:p>
        </w:tc>
        <w:tc>
          <w:tcPr>
            <w:tcW w:w="1371" w:type="dxa"/>
          </w:tcPr>
          <w:p w:rsidR="00C727BD" w:rsidRPr="00CA2BDC" w:rsidRDefault="00C727BD" w:rsidP="00CE00EE">
            <w:pPr>
              <w:tabs>
                <w:tab w:val="left" w:pos="1275"/>
              </w:tabs>
              <w:rPr>
                <w:rFonts w:ascii="Verdana" w:hAnsi="Verdana"/>
                <w:sz w:val="20"/>
                <w:szCs w:val="20"/>
              </w:rPr>
            </w:pPr>
            <w:r>
              <w:rPr>
                <w:rFonts w:ascii="Verdana" w:hAnsi="Verdana"/>
                <w:sz w:val="20"/>
                <w:szCs w:val="20"/>
              </w:rPr>
              <w:t>September 2022</w:t>
            </w:r>
          </w:p>
        </w:tc>
      </w:tr>
      <w:tr w:rsidR="00C727BD" w:rsidRPr="00CA2BDC" w:rsidTr="00CE00EE">
        <w:trPr>
          <w:cantSplit/>
          <w:trHeight w:val="1134"/>
        </w:trPr>
        <w:tc>
          <w:tcPr>
            <w:tcW w:w="1466" w:type="dxa"/>
            <w:vMerge/>
            <w:textDirection w:val="btLr"/>
          </w:tcPr>
          <w:p w:rsidR="00C727BD" w:rsidRPr="00D21537" w:rsidRDefault="00C727BD" w:rsidP="00CE00EE">
            <w:pPr>
              <w:tabs>
                <w:tab w:val="left" w:pos="1275"/>
              </w:tabs>
              <w:ind w:left="113" w:right="113"/>
              <w:rPr>
                <w:rFonts w:ascii="Verdana" w:hAnsi="Verdana"/>
                <w:b/>
                <w:sz w:val="20"/>
                <w:szCs w:val="20"/>
              </w:rPr>
            </w:pPr>
          </w:p>
        </w:tc>
        <w:tc>
          <w:tcPr>
            <w:tcW w:w="3916" w:type="dxa"/>
          </w:tcPr>
          <w:p w:rsidR="00C727BD" w:rsidRPr="00CA2BDC" w:rsidRDefault="00C727BD" w:rsidP="00CE00EE">
            <w:pPr>
              <w:tabs>
                <w:tab w:val="left" w:pos="1275"/>
              </w:tabs>
              <w:rPr>
                <w:rFonts w:ascii="Verdana" w:hAnsi="Verdana"/>
                <w:sz w:val="20"/>
                <w:szCs w:val="20"/>
              </w:rPr>
            </w:pPr>
          </w:p>
        </w:tc>
        <w:tc>
          <w:tcPr>
            <w:tcW w:w="5823" w:type="dxa"/>
          </w:tcPr>
          <w:p w:rsidR="00C727BD" w:rsidRPr="00CA2BDC" w:rsidRDefault="00C727BD" w:rsidP="00CE00EE">
            <w:pPr>
              <w:pStyle w:val="ListParagraph"/>
              <w:tabs>
                <w:tab w:val="left" w:pos="1275"/>
              </w:tabs>
              <w:ind w:left="0"/>
              <w:rPr>
                <w:rFonts w:ascii="Verdana" w:hAnsi="Verdana"/>
                <w:sz w:val="20"/>
                <w:szCs w:val="20"/>
              </w:rPr>
            </w:pPr>
          </w:p>
        </w:tc>
        <w:tc>
          <w:tcPr>
            <w:tcW w:w="1372" w:type="dxa"/>
          </w:tcPr>
          <w:p w:rsidR="00C727BD" w:rsidRPr="00CA2BDC" w:rsidRDefault="00C727BD" w:rsidP="00CE00EE">
            <w:pPr>
              <w:tabs>
                <w:tab w:val="left" w:pos="1275"/>
              </w:tabs>
              <w:rPr>
                <w:rFonts w:ascii="Verdana" w:hAnsi="Verdana"/>
                <w:sz w:val="20"/>
                <w:szCs w:val="20"/>
              </w:rPr>
            </w:pPr>
          </w:p>
        </w:tc>
        <w:tc>
          <w:tcPr>
            <w:tcW w:w="1371" w:type="dxa"/>
          </w:tcPr>
          <w:p w:rsidR="00C727BD" w:rsidRPr="00CA2BDC" w:rsidRDefault="00C727BD" w:rsidP="00CE00EE">
            <w:pPr>
              <w:tabs>
                <w:tab w:val="left" w:pos="1275"/>
              </w:tabs>
              <w:rPr>
                <w:rFonts w:ascii="Verdana" w:hAnsi="Verdana"/>
                <w:sz w:val="20"/>
                <w:szCs w:val="20"/>
              </w:rPr>
            </w:pPr>
          </w:p>
        </w:tc>
      </w:tr>
    </w:tbl>
    <w:p w:rsidR="00C727BD" w:rsidRDefault="00C727BD" w:rsidP="00C727BD">
      <w:pPr>
        <w:rPr>
          <w:rFonts w:ascii="Verdana" w:hAnsi="Verdana"/>
        </w:rPr>
      </w:pPr>
    </w:p>
    <w:p w:rsidR="00C727BD" w:rsidRPr="00363805" w:rsidRDefault="00C727BD" w:rsidP="00C727BD">
      <w:pPr>
        <w:rPr>
          <w:rFonts w:ascii="Verdana" w:hAnsi="Verdana"/>
        </w:rPr>
      </w:pPr>
    </w:p>
    <w:p w:rsidR="00277DAA" w:rsidRPr="00C727BD" w:rsidRDefault="00277DAA" w:rsidP="00C727BD"/>
    <w:sectPr w:rsidR="00277DAA" w:rsidRPr="00C727BD" w:rsidSect="00363805">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E5E" w:rsidRDefault="00E15E5E" w:rsidP="005D3708">
      <w:pPr>
        <w:spacing w:after="0" w:line="240" w:lineRule="auto"/>
      </w:pPr>
      <w:r>
        <w:separator/>
      </w:r>
    </w:p>
  </w:endnote>
  <w:endnote w:type="continuationSeparator" w:id="0">
    <w:p w:rsidR="00E15E5E" w:rsidRDefault="00E15E5E" w:rsidP="005D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SemiBold">
    <w:altName w:val="Raleway SemiBold"/>
    <w:panose1 w:val="00000000000000000000"/>
    <w:charset w:val="00"/>
    <w:family w:val="swiss"/>
    <w:notTrueType/>
    <w:pitch w:val="default"/>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BD" w:rsidRPr="00277DAA" w:rsidRDefault="00C727BD" w:rsidP="00277DAA">
    <w:pPr>
      <w:pStyle w:val="Footer"/>
      <w:rPr>
        <w:rFonts w:ascii="Calibri" w:hAnsi="Calibri" w:cs="Calibri"/>
      </w:rPr>
    </w:pPr>
    <w:r>
      <w:rPr>
        <w:rFonts w:ascii="Calibri" w:hAnsi="Calibri" w:cs="Calibri"/>
      </w:rPr>
      <w:t>Document Number: 486922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708" w:rsidRPr="00C727BD" w:rsidRDefault="00C727BD" w:rsidP="00C727BD">
    <w:pPr>
      <w:pStyle w:val="Footer"/>
      <w:rPr>
        <w:rFonts w:ascii="Calibri" w:hAnsi="Calibri" w:cs="Calibri"/>
      </w:rPr>
    </w:pPr>
    <w:r>
      <w:rPr>
        <w:rFonts w:ascii="Calibri" w:hAnsi="Calibri" w:cs="Calibri"/>
      </w:rPr>
      <w:t>Document Number: 486922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E5E" w:rsidRDefault="00E15E5E" w:rsidP="005D3708">
      <w:pPr>
        <w:spacing w:after="0" w:line="240" w:lineRule="auto"/>
      </w:pPr>
      <w:r>
        <w:separator/>
      </w:r>
    </w:p>
  </w:footnote>
  <w:footnote w:type="continuationSeparator" w:id="0">
    <w:p w:rsidR="00E15E5E" w:rsidRDefault="00E15E5E" w:rsidP="005D3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45E5"/>
    <w:multiLevelType w:val="hybridMultilevel"/>
    <w:tmpl w:val="55E80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4B656A"/>
    <w:multiLevelType w:val="hybridMultilevel"/>
    <w:tmpl w:val="D01EA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D040EE"/>
    <w:multiLevelType w:val="hybridMultilevel"/>
    <w:tmpl w:val="35C41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FD7E45"/>
    <w:multiLevelType w:val="hybridMultilevel"/>
    <w:tmpl w:val="059A6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D085700"/>
    <w:multiLevelType w:val="hybridMultilevel"/>
    <w:tmpl w:val="C2B63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E30618"/>
    <w:multiLevelType w:val="hybridMultilevel"/>
    <w:tmpl w:val="08AE3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067869"/>
    <w:multiLevelType w:val="hybridMultilevel"/>
    <w:tmpl w:val="26EA2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2D"/>
    <w:rsid w:val="00006A1D"/>
    <w:rsid w:val="00012DF3"/>
    <w:rsid w:val="00057F2D"/>
    <w:rsid w:val="000C48C5"/>
    <w:rsid w:val="001C10FE"/>
    <w:rsid w:val="0022066A"/>
    <w:rsid w:val="00277DAA"/>
    <w:rsid w:val="002C5595"/>
    <w:rsid w:val="00363805"/>
    <w:rsid w:val="003860C1"/>
    <w:rsid w:val="00446868"/>
    <w:rsid w:val="00491128"/>
    <w:rsid w:val="004B6DCA"/>
    <w:rsid w:val="004F04B2"/>
    <w:rsid w:val="005003FE"/>
    <w:rsid w:val="005427F0"/>
    <w:rsid w:val="005856B9"/>
    <w:rsid w:val="005D3708"/>
    <w:rsid w:val="006114A4"/>
    <w:rsid w:val="00660A58"/>
    <w:rsid w:val="006B2CF1"/>
    <w:rsid w:val="006F04CB"/>
    <w:rsid w:val="007240B6"/>
    <w:rsid w:val="00737EAA"/>
    <w:rsid w:val="00754056"/>
    <w:rsid w:val="007C74A2"/>
    <w:rsid w:val="00815170"/>
    <w:rsid w:val="00831FA9"/>
    <w:rsid w:val="008862CB"/>
    <w:rsid w:val="00896591"/>
    <w:rsid w:val="008C0CFF"/>
    <w:rsid w:val="008C31E8"/>
    <w:rsid w:val="00A07E16"/>
    <w:rsid w:val="00A72B81"/>
    <w:rsid w:val="00A850A3"/>
    <w:rsid w:val="00AC48C5"/>
    <w:rsid w:val="00AD10FB"/>
    <w:rsid w:val="00AD5F62"/>
    <w:rsid w:val="00B118DE"/>
    <w:rsid w:val="00BA2922"/>
    <w:rsid w:val="00BA7479"/>
    <w:rsid w:val="00C661D2"/>
    <w:rsid w:val="00C727BD"/>
    <w:rsid w:val="00CA2BDC"/>
    <w:rsid w:val="00CF4BA6"/>
    <w:rsid w:val="00D21537"/>
    <w:rsid w:val="00D67861"/>
    <w:rsid w:val="00D76E38"/>
    <w:rsid w:val="00DA328A"/>
    <w:rsid w:val="00DC0C79"/>
    <w:rsid w:val="00DC337F"/>
    <w:rsid w:val="00DE45CB"/>
    <w:rsid w:val="00E15E5E"/>
    <w:rsid w:val="00F37610"/>
    <w:rsid w:val="00FC4F38"/>
    <w:rsid w:val="00FC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E9865-8ADC-4E03-8D4D-1838E500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868"/>
    <w:pPr>
      <w:autoSpaceDE w:val="0"/>
      <w:autoSpaceDN w:val="0"/>
      <w:adjustRightInd w:val="0"/>
      <w:spacing w:after="0" w:line="240" w:lineRule="auto"/>
    </w:pPr>
    <w:rPr>
      <w:rFonts w:ascii="Raleway SemiBold" w:hAnsi="Raleway SemiBold" w:cs="Raleway SemiBold"/>
      <w:color w:val="000000"/>
      <w:sz w:val="24"/>
      <w:szCs w:val="24"/>
    </w:rPr>
  </w:style>
  <w:style w:type="paragraph" w:styleId="Header">
    <w:name w:val="header"/>
    <w:basedOn w:val="Normal"/>
    <w:link w:val="HeaderChar"/>
    <w:uiPriority w:val="99"/>
    <w:unhideWhenUsed/>
    <w:rsid w:val="005D3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708"/>
  </w:style>
  <w:style w:type="paragraph" w:styleId="Footer">
    <w:name w:val="footer"/>
    <w:basedOn w:val="Normal"/>
    <w:link w:val="FooterChar"/>
    <w:uiPriority w:val="99"/>
    <w:unhideWhenUsed/>
    <w:rsid w:val="005D3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708"/>
  </w:style>
  <w:style w:type="table" w:styleId="TableGrid">
    <w:name w:val="Table Grid"/>
    <w:basedOn w:val="TableNormal"/>
    <w:uiPriority w:val="39"/>
    <w:rsid w:val="00363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BA2922"/>
    <w:pPr>
      <w:spacing w:line="241" w:lineRule="atLeast"/>
    </w:pPr>
    <w:rPr>
      <w:rFonts w:ascii="Raleway" w:hAnsi="Raleway" w:cstheme="minorBidi"/>
      <w:color w:val="auto"/>
    </w:rPr>
  </w:style>
  <w:style w:type="character" w:customStyle="1" w:styleId="A7">
    <w:name w:val="A7"/>
    <w:uiPriority w:val="99"/>
    <w:rsid w:val="00BA2922"/>
    <w:rPr>
      <w:rFonts w:cs="Raleway"/>
      <w:color w:val="000000"/>
      <w:sz w:val="20"/>
      <w:szCs w:val="20"/>
    </w:rPr>
  </w:style>
  <w:style w:type="paragraph" w:styleId="ListParagraph">
    <w:name w:val="List Paragraph"/>
    <w:basedOn w:val="Normal"/>
    <w:uiPriority w:val="34"/>
    <w:qFormat/>
    <w:rsid w:val="00277DAA"/>
    <w:pPr>
      <w:ind w:left="720"/>
      <w:contextualSpacing/>
    </w:pPr>
  </w:style>
  <w:style w:type="paragraph" w:styleId="BalloonText">
    <w:name w:val="Balloon Text"/>
    <w:basedOn w:val="Normal"/>
    <w:link w:val="BalloonTextChar"/>
    <w:uiPriority w:val="99"/>
    <w:semiHidden/>
    <w:unhideWhenUsed/>
    <w:rsid w:val="00542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22636">
      <w:bodyDiv w:val="1"/>
      <w:marLeft w:val="0"/>
      <w:marRight w:val="0"/>
      <w:marTop w:val="0"/>
      <w:marBottom w:val="0"/>
      <w:divBdr>
        <w:top w:val="none" w:sz="0" w:space="0" w:color="auto"/>
        <w:left w:val="none" w:sz="0" w:space="0" w:color="auto"/>
        <w:bottom w:val="none" w:sz="0" w:space="0" w:color="auto"/>
        <w:right w:val="none" w:sz="0" w:space="0" w:color="auto"/>
      </w:divBdr>
    </w:div>
    <w:div w:id="18091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Hayhurst Lesley</dc:creator>
  <cp:keywords/>
  <dc:description/>
  <cp:lastModifiedBy>Lendon Jess-Pete</cp:lastModifiedBy>
  <cp:revision>2</cp:revision>
  <cp:lastPrinted>2022-04-12T10:49:00Z</cp:lastPrinted>
  <dcterms:created xsi:type="dcterms:W3CDTF">2022-10-27T08:58:00Z</dcterms:created>
  <dcterms:modified xsi:type="dcterms:W3CDTF">2022-10-27T08:58:00Z</dcterms:modified>
</cp:coreProperties>
</file>