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5E" w:rsidRPr="003E15AF" w:rsidRDefault="008A555E" w:rsidP="008A555E">
      <w:pPr>
        <w:spacing w:after="0" w:line="360" w:lineRule="auto"/>
        <w:ind w:right="-46"/>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788"/>
      </w:tblGrid>
      <w:tr w:rsidR="008A555E" w:rsidRPr="00B362C5" w:rsidTr="008E6494">
        <w:trPr>
          <w:trHeight w:val="454"/>
        </w:trPr>
        <w:tc>
          <w:tcPr>
            <w:tcW w:w="2299" w:type="dxa"/>
            <w:shd w:val="clear" w:color="auto" w:fill="DAEEF3"/>
            <w:vAlign w:val="center"/>
          </w:tcPr>
          <w:p w:rsidR="008A555E" w:rsidRPr="00B362C5" w:rsidRDefault="008A555E" w:rsidP="008E6494">
            <w:pPr>
              <w:spacing w:after="0" w:line="240" w:lineRule="auto"/>
              <w:jc w:val="both"/>
              <w:rPr>
                <w:rFonts w:ascii="Arial" w:eastAsia="Calibri" w:hAnsi="Arial" w:cs="Arial"/>
                <w:b/>
              </w:rPr>
            </w:pPr>
            <w:r w:rsidRPr="00B362C5">
              <w:rPr>
                <w:rFonts w:ascii="Arial" w:eastAsia="Calibri" w:hAnsi="Arial" w:cs="Arial"/>
                <w:b/>
              </w:rPr>
              <w:t>POST TITLE</w:t>
            </w:r>
          </w:p>
        </w:tc>
        <w:tc>
          <w:tcPr>
            <w:tcW w:w="7329" w:type="dxa"/>
            <w:vAlign w:val="center"/>
          </w:tcPr>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Director of People &amp; Culture (0.8 fte)</w:t>
            </w:r>
          </w:p>
        </w:tc>
      </w:tr>
      <w:tr w:rsidR="008A555E" w:rsidRPr="00B362C5" w:rsidTr="008E6494">
        <w:trPr>
          <w:trHeight w:val="454"/>
        </w:trPr>
        <w:tc>
          <w:tcPr>
            <w:tcW w:w="2299" w:type="dxa"/>
            <w:shd w:val="clear" w:color="auto" w:fill="DAEEF3"/>
            <w:vAlign w:val="center"/>
          </w:tcPr>
          <w:p w:rsidR="008A555E" w:rsidRPr="00B362C5" w:rsidRDefault="008A555E" w:rsidP="008E6494">
            <w:pPr>
              <w:spacing w:after="0" w:line="240" w:lineRule="auto"/>
              <w:jc w:val="both"/>
              <w:rPr>
                <w:rFonts w:ascii="Arial" w:eastAsia="Calibri" w:hAnsi="Arial" w:cs="Arial"/>
                <w:b/>
              </w:rPr>
            </w:pPr>
            <w:r w:rsidRPr="00B362C5">
              <w:rPr>
                <w:rFonts w:ascii="Arial" w:eastAsia="Calibri" w:hAnsi="Arial" w:cs="Arial"/>
                <w:b/>
              </w:rPr>
              <w:t>GRADE</w:t>
            </w:r>
          </w:p>
        </w:tc>
        <w:tc>
          <w:tcPr>
            <w:tcW w:w="7329" w:type="dxa"/>
            <w:vAlign w:val="center"/>
          </w:tcPr>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Executive Director</w:t>
            </w:r>
          </w:p>
        </w:tc>
      </w:tr>
      <w:tr w:rsidR="008A555E" w:rsidRPr="00B362C5" w:rsidTr="008E6494">
        <w:trPr>
          <w:trHeight w:val="454"/>
        </w:trPr>
        <w:tc>
          <w:tcPr>
            <w:tcW w:w="2299" w:type="dxa"/>
            <w:shd w:val="clear" w:color="auto" w:fill="DAEEF3"/>
            <w:vAlign w:val="center"/>
          </w:tcPr>
          <w:p w:rsidR="008A555E" w:rsidRPr="00B362C5" w:rsidRDefault="008A555E" w:rsidP="008E6494">
            <w:pPr>
              <w:spacing w:after="0" w:line="240" w:lineRule="auto"/>
              <w:jc w:val="both"/>
              <w:rPr>
                <w:rFonts w:ascii="Arial" w:eastAsia="Calibri" w:hAnsi="Arial" w:cs="Arial"/>
                <w:b/>
              </w:rPr>
            </w:pPr>
            <w:r w:rsidRPr="00B362C5">
              <w:rPr>
                <w:rFonts w:ascii="Arial" w:eastAsia="Calibri" w:hAnsi="Arial" w:cs="Arial"/>
                <w:b/>
              </w:rPr>
              <w:t>PERMANENT BASE</w:t>
            </w:r>
          </w:p>
        </w:tc>
        <w:tc>
          <w:tcPr>
            <w:tcW w:w="7329" w:type="dxa"/>
            <w:vAlign w:val="center"/>
          </w:tcPr>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CHQ, Eyre Street, Sheffield (with some agile working)</w:t>
            </w:r>
          </w:p>
        </w:tc>
      </w:tr>
      <w:tr w:rsidR="008A555E" w:rsidRPr="00B362C5" w:rsidTr="008E6494">
        <w:trPr>
          <w:trHeight w:val="454"/>
        </w:trPr>
        <w:tc>
          <w:tcPr>
            <w:tcW w:w="2299" w:type="dxa"/>
            <w:shd w:val="clear" w:color="auto" w:fill="DAEEF3"/>
            <w:vAlign w:val="center"/>
          </w:tcPr>
          <w:p w:rsidR="008A555E" w:rsidRPr="00B362C5" w:rsidRDefault="008A555E" w:rsidP="008E6494">
            <w:pPr>
              <w:spacing w:after="0" w:line="240" w:lineRule="auto"/>
              <w:jc w:val="both"/>
              <w:rPr>
                <w:rFonts w:ascii="Arial" w:eastAsia="Calibri" w:hAnsi="Arial" w:cs="Arial"/>
                <w:b/>
              </w:rPr>
            </w:pPr>
            <w:r w:rsidRPr="00B362C5">
              <w:rPr>
                <w:rFonts w:ascii="Arial" w:eastAsia="Calibri" w:hAnsi="Arial" w:cs="Arial"/>
                <w:b/>
              </w:rPr>
              <w:t>RESPONSIBLE TO</w:t>
            </w:r>
          </w:p>
        </w:tc>
        <w:tc>
          <w:tcPr>
            <w:tcW w:w="7329" w:type="dxa"/>
            <w:vAlign w:val="center"/>
          </w:tcPr>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 xml:space="preserve">The Fire and Rescue Authority on statutory people issues </w:t>
            </w:r>
          </w:p>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 xml:space="preserve">Chief Fire Officer / Chief Executive on general management issues  </w:t>
            </w:r>
          </w:p>
        </w:tc>
      </w:tr>
      <w:tr w:rsidR="008A555E" w:rsidRPr="00B362C5" w:rsidTr="008E6494">
        <w:trPr>
          <w:trHeight w:val="454"/>
        </w:trPr>
        <w:tc>
          <w:tcPr>
            <w:tcW w:w="2299" w:type="dxa"/>
            <w:shd w:val="clear" w:color="auto" w:fill="DAEEF3"/>
            <w:vAlign w:val="center"/>
          </w:tcPr>
          <w:p w:rsidR="008A555E" w:rsidRPr="00B362C5" w:rsidRDefault="008A555E" w:rsidP="008E6494">
            <w:pPr>
              <w:spacing w:after="0" w:line="240" w:lineRule="auto"/>
              <w:jc w:val="both"/>
              <w:rPr>
                <w:rFonts w:ascii="Arial" w:eastAsia="Calibri" w:hAnsi="Arial" w:cs="Arial"/>
                <w:b/>
              </w:rPr>
            </w:pPr>
            <w:r w:rsidRPr="00B362C5">
              <w:rPr>
                <w:rFonts w:ascii="Arial" w:eastAsia="Calibri" w:hAnsi="Arial" w:cs="Arial"/>
                <w:b/>
              </w:rPr>
              <w:t>RESPONSIBLE FOR</w:t>
            </w:r>
          </w:p>
        </w:tc>
        <w:tc>
          <w:tcPr>
            <w:tcW w:w="7329" w:type="dxa"/>
            <w:vAlign w:val="center"/>
          </w:tcPr>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People Relations</w:t>
            </w:r>
            <w:r>
              <w:rPr>
                <w:rFonts w:ascii="Arial" w:eastAsia="Calibri" w:hAnsi="Arial" w:cs="Arial"/>
              </w:rPr>
              <w:t xml:space="preserve"> &amp; Professional Standards</w:t>
            </w:r>
            <w:r w:rsidRPr="00B362C5">
              <w:rPr>
                <w:rFonts w:ascii="Arial" w:eastAsia="Calibri" w:hAnsi="Arial" w:cs="Arial"/>
              </w:rPr>
              <w:t xml:space="preserve"> Manager</w:t>
            </w:r>
          </w:p>
          <w:p w:rsidR="008A555E" w:rsidRPr="00B362C5" w:rsidRDefault="008A555E" w:rsidP="008E6494">
            <w:pPr>
              <w:spacing w:after="0" w:line="240" w:lineRule="auto"/>
              <w:jc w:val="both"/>
              <w:rPr>
                <w:rFonts w:ascii="Arial" w:eastAsia="Calibri" w:hAnsi="Arial" w:cs="Arial"/>
              </w:rPr>
            </w:pPr>
            <w:r w:rsidRPr="00B362C5">
              <w:rPr>
                <w:rFonts w:ascii="Arial" w:eastAsia="Calibri" w:hAnsi="Arial" w:cs="Arial"/>
              </w:rPr>
              <w:t>Senior People Partner (OD)</w:t>
            </w:r>
          </w:p>
          <w:p w:rsidR="008A555E" w:rsidRDefault="008A555E" w:rsidP="008E6494">
            <w:pPr>
              <w:spacing w:after="0" w:line="240" w:lineRule="auto"/>
              <w:jc w:val="both"/>
              <w:rPr>
                <w:rFonts w:ascii="Arial" w:eastAsia="Calibri" w:hAnsi="Arial" w:cs="Arial"/>
              </w:rPr>
            </w:pPr>
            <w:r>
              <w:rPr>
                <w:rFonts w:ascii="Arial" w:eastAsia="Calibri" w:hAnsi="Arial" w:cs="Arial"/>
              </w:rPr>
              <w:t>People Services</w:t>
            </w:r>
            <w:r w:rsidRPr="00B362C5">
              <w:rPr>
                <w:rFonts w:ascii="Arial" w:eastAsia="Calibri" w:hAnsi="Arial" w:cs="Arial"/>
              </w:rPr>
              <w:t xml:space="preserve"> Manager</w:t>
            </w:r>
          </w:p>
          <w:p w:rsidR="008A555E" w:rsidRPr="00B362C5" w:rsidRDefault="008A555E" w:rsidP="008E6494">
            <w:pPr>
              <w:spacing w:after="0" w:line="240" w:lineRule="auto"/>
              <w:jc w:val="both"/>
              <w:rPr>
                <w:rFonts w:ascii="Arial" w:eastAsia="Calibri" w:hAnsi="Arial" w:cs="Arial"/>
              </w:rPr>
            </w:pPr>
            <w:r>
              <w:rPr>
                <w:rFonts w:ascii="Arial" w:eastAsia="Calibri" w:hAnsi="Arial" w:cs="Arial"/>
              </w:rPr>
              <w:t>Culture Programme Lead</w:t>
            </w:r>
          </w:p>
        </w:tc>
      </w:tr>
    </w:tbl>
    <w:p w:rsidR="008A555E" w:rsidRPr="00B362C5" w:rsidRDefault="008A555E" w:rsidP="008A555E">
      <w:pPr>
        <w:spacing w:after="0" w:line="240" w:lineRule="auto"/>
        <w:rPr>
          <w:rFonts w:ascii="Arial" w:eastAsia="Calibri" w:hAnsi="Arial" w:cs="Arial"/>
        </w:rPr>
      </w:pPr>
    </w:p>
    <w:p w:rsidR="008A555E" w:rsidRPr="00B362C5" w:rsidRDefault="008A555E" w:rsidP="008A555E">
      <w:pPr>
        <w:spacing w:after="0" w:line="240" w:lineRule="auto"/>
        <w:jc w:val="both"/>
        <w:rPr>
          <w:rFonts w:ascii="Arial" w:eastAsia="Calibri" w:hAnsi="Arial" w:cs="Arial"/>
          <w:b/>
        </w:rPr>
      </w:pPr>
      <w:r w:rsidRPr="00B362C5">
        <w:rPr>
          <w:rFonts w:ascii="Arial" w:eastAsia="Calibri" w:hAnsi="Arial" w:cs="Arial"/>
          <w:b/>
        </w:rPr>
        <w:t>OVERALL PURPOSE OF JOB</w:t>
      </w:r>
    </w:p>
    <w:p w:rsidR="008A555E" w:rsidRDefault="008A555E" w:rsidP="008A555E">
      <w:pPr>
        <w:spacing w:after="0" w:line="240" w:lineRule="auto"/>
        <w:jc w:val="both"/>
        <w:rPr>
          <w:rFonts w:ascii="Arial" w:eastAsia="Calibri" w:hAnsi="Arial" w:cs="Arial"/>
        </w:rPr>
      </w:pPr>
    </w:p>
    <w:p w:rsidR="008A555E" w:rsidRDefault="008A555E" w:rsidP="008A555E">
      <w:pPr>
        <w:spacing w:after="0" w:line="240" w:lineRule="auto"/>
        <w:jc w:val="both"/>
        <w:rPr>
          <w:rFonts w:ascii="Arial" w:eastAsia="Calibri" w:hAnsi="Arial" w:cs="Arial"/>
        </w:rPr>
      </w:pPr>
      <w:r w:rsidRPr="00B362C5">
        <w:rPr>
          <w:rFonts w:ascii="Arial" w:eastAsia="Calibri" w:hAnsi="Arial" w:cs="Arial"/>
        </w:rPr>
        <w:t xml:space="preserve">Provide professional strategic people advice to South Yorkshire Fire &amp; Rescue Authority and Directors of South Yorkshire Fire &amp; Rescue Service, including leading culture change.  </w:t>
      </w:r>
    </w:p>
    <w:p w:rsidR="008A555E" w:rsidRDefault="008A555E" w:rsidP="008A555E">
      <w:pPr>
        <w:spacing w:after="0" w:line="240" w:lineRule="auto"/>
        <w:jc w:val="both"/>
        <w:rPr>
          <w:rFonts w:ascii="Arial" w:eastAsia="Calibri" w:hAnsi="Arial" w:cs="Arial"/>
        </w:rPr>
      </w:pPr>
    </w:p>
    <w:p w:rsidR="008A555E" w:rsidRDefault="008A555E" w:rsidP="008A555E">
      <w:pPr>
        <w:spacing w:after="0" w:line="240" w:lineRule="auto"/>
        <w:jc w:val="both"/>
        <w:rPr>
          <w:rFonts w:ascii="Arial" w:eastAsia="Calibri" w:hAnsi="Arial" w:cs="Arial"/>
        </w:rPr>
      </w:pPr>
      <w:r w:rsidRPr="00B362C5">
        <w:rPr>
          <w:rFonts w:ascii="Arial" w:eastAsia="Calibri" w:hAnsi="Arial" w:cs="Arial"/>
        </w:rPr>
        <w:t>Lead the People function by providing strategic direction towards the achie</w:t>
      </w:r>
      <w:r w:rsidR="00BB0DAE">
        <w:rPr>
          <w:rFonts w:ascii="Arial" w:eastAsia="Calibri" w:hAnsi="Arial" w:cs="Arial"/>
        </w:rPr>
        <w:t>vement of the strategic objectives in the Community Risk Management Plan and the People Strategy.</w:t>
      </w:r>
    </w:p>
    <w:p w:rsidR="008A555E" w:rsidRDefault="008A555E" w:rsidP="008A555E">
      <w:pPr>
        <w:spacing w:after="0" w:line="240" w:lineRule="auto"/>
        <w:jc w:val="both"/>
        <w:rPr>
          <w:rFonts w:ascii="Arial" w:eastAsia="Calibri" w:hAnsi="Arial" w:cs="Arial"/>
        </w:rPr>
      </w:pPr>
    </w:p>
    <w:p w:rsidR="008A555E" w:rsidRPr="00B362C5" w:rsidRDefault="008A555E" w:rsidP="008A555E">
      <w:pPr>
        <w:spacing w:after="0" w:line="240" w:lineRule="auto"/>
        <w:jc w:val="both"/>
        <w:rPr>
          <w:rFonts w:ascii="Arial" w:eastAsia="Calibri" w:hAnsi="Arial" w:cs="Arial"/>
        </w:rPr>
      </w:pPr>
      <w:r w:rsidRPr="00B362C5">
        <w:rPr>
          <w:rFonts w:ascii="Arial" w:eastAsia="Calibri" w:hAnsi="Arial" w:cs="Arial"/>
        </w:rPr>
        <w:t>Display outstanding leadership and role model the values and behaviours of the service and the national core code of ethics.</w:t>
      </w:r>
    </w:p>
    <w:p w:rsidR="008A555E" w:rsidRPr="00B362C5" w:rsidRDefault="008A555E" w:rsidP="008A555E">
      <w:pPr>
        <w:spacing w:after="0" w:line="240" w:lineRule="auto"/>
        <w:jc w:val="both"/>
        <w:rPr>
          <w:rFonts w:ascii="Arial" w:eastAsia="Calibri" w:hAnsi="Arial" w:cs="Arial"/>
        </w:rPr>
      </w:pPr>
    </w:p>
    <w:p w:rsidR="008A555E" w:rsidRPr="00B362C5" w:rsidRDefault="008A555E" w:rsidP="008A555E">
      <w:pPr>
        <w:spacing w:after="0" w:line="240" w:lineRule="auto"/>
        <w:jc w:val="both"/>
        <w:rPr>
          <w:rFonts w:ascii="Arial" w:eastAsia="Calibri" w:hAnsi="Arial" w:cs="Arial"/>
        </w:rPr>
      </w:pPr>
    </w:p>
    <w:p w:rsidR="008A555E" w:rsidRPr="00B362C5" w:rsidRDefault="008A555E" w:rsidP="008A555E">
      <w:pPr>
        <w:spacing w:after="0" w:line="240" w:lineRule="auto"/>
        <w:jc w:val="both"/>
        <w:rPr>
          <w:rFonts w:ascii="Arial" w:eastAsia="Calibri" w:hAnsi="Arial" w:cs="Arial"/>
          <w:b/>
        </w:rPr>
      </w:pPr>
      <w:r w:rsidRPr="00B362C5">
        <w:rPr>
          <w:rFonts w:ascii="Arial" w:eastAsia="Calibri" w:hAnsi="Arial" w:cs="Arial"/>
          <w:b/>
        </w:rPr>
        <w:t>MAIN RESPONSIBILITIES</w:t>
      </w:r>
    </w:p>
    <w:p w:rsidR="008A555E" w:rsidRPr="00B362C5" w:rsidRDefault="008A555E" w:rsidP="008A555E">
      <w:pPr>
        <w:spacing w:after="0" w:line="240" w:lineRule="auto"/>
        <w:jc w:val="both"/>
        <w:rPr>
          <w:rFonts w:ascii="Arial" w:eastAsia="Calibri" w:hAnsi="Arial" w:cs="Times New Roman"/>
        </w:rPr>
      </w:pPr>
    </w:p>
    <w:p w:rsidR="008A555E" w:rsidRPr="00B362C5" w:rsidRDefault="008A555E" w:rsidP="008A555E">
      <w:pPr>
        <w:numPr>
          <w:ilvl w:val="0"/>
          <w:numId w:val="2"/>
        </w:numPr>
        <w:spacing w:after="0" w:line="240" w:lineRule="auto"/>
        <w:ind w:hanging="720"/>
        <w:contextualSpacing/>
        <w:jc w:val="both"/>
        <w:rPr>
          <w:rFonts w:ascii="Arial" w:eastAsia="Calibri" w:hAnsi="Arial" w:cs="Times New Roman"/>
          <w:b/>
        </w:rPr>
      </w:pPr>
      <w:r w:rsidRPr="00B362C5">
        <w:rPr>
          <w:rFonts w:ascii="Arial" w:eastAsia="Calibri" w:hAnsi="Arial" w:cs="Times New Roman"/>
          <w:b/>
        </w:rPr>
        <w:t>People &amp; Culture</w:t>
      </w:r>
    </w:p>
    <w:p w:rsidR="008A555E" w:rsidRPr="00B362C5" w:rsidRDefault="008A555E" w:rsidP="008A555E">
      <w:pPr>
        <w:spacing w:after="0" w:line="240" w:lineRule="auto"/>
        <w:jc w:val="both"/>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Provide professional strategic advice and guidance to the</w:t>
      </w:r>
      <w:r>
        <w:rPr>
          <w:rFonts w:ascii="Arial" w:eastAsia="Calibri" w:hAnsi="Arial" w:cs="Times New Roman"/>
        </w:rPr>
        <w:t xml:space="preserve"> Executive Team and</w:t>
      </w:r>
      <w:r w:rsidRPr="00B362C5">
        <w:rPr>
          <w:rFonts w:ascii="Arial" w:eastAsia="Calibri" w:hAnsi="Arial" w:cs="Times New Roman"/>
        </w:rPr>
        <w:t xml:space="preserve"> Senior Leadership Team (SLT) on all complex individual and collective people related matters.</w:t>
      </w:r>
    </w:p>
    <w:p w:rsidR="008A555E" w:rsidRPr="00B362C5" w:rsidRDefault="008A555E" w:rsidP="008A555E">
      <w:pPr>
        <w:spacing w:after="0" w:line="240" w:lineRule="auto"/>
        <w:ind w:left="709"/>
        <w:contextualSpacing/>
        <w:jc w:val="both"/>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Provide detailed interpretation and implementation of employment legislation, particularly when complex and legally sensitive issues arise.</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Assess, review and manage all risks associated with complex people related issues, ensuring the service is not exposed to avoidable risks relating to individual employment rights, reputational damage and wider employment legislation.</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Lead, advise and manage all issues related to employment tribunal claims.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 xml:space="preserve">Ensure the </w:t>
      </w:r>
      <w:r w:rsidR="00BB0DAE">
        <w:rPr>
          <w:rFonts w:ascii="Arial" w:eastAsia="Calibri" w:hAnsi="Arial" w:cs="Times New Roman"/>
        </w:rPr>
        <w:t>procurement</w:t>
      </w:r>
      <w:r>
        <w:rPr>
          <w:rFonts w:ascii="Arial" w:eastAsia="Calibri" w:hAnsi="Arial" w:cs="Times New Roman"/>
        </w:rPr>
        <w:t xml:space="preserve"> and delivery</w:t>
      </w:r>
      <w:r w:rsidRPr="00B362C5">
        <w:rPr>
          <w:rFonts w:ascii="Arial" w:eastAsia="Calibri" w:hAnsi="Arial" w:cs="Times New Roman"/>
        </w:rPr>
        <w:t xml:space="preserve"> of effective general training provision for the whole service</w:t>
      </w:r>
      <w:r w:rsidR="00BB0DAE">
        <w:rPr>
          <w:rFonts w:ascii="Arial" w:eastAsia="Calibri" w:hAnsi="Arial" w:cs="Times New Roman"/>
        </w:rPr>
        <w:t xml:space="preserve"> (not operational training)</w:t>
      </w:r>
      <w:r w:rsidRPr="00B362C5">
        <w:rPr>
          <w:rFonts w:ascii="Arial" w:eastAsia="Calibri" w:hAnsi="Arial" w:cs="Times New Roman"/>
        </w:rPr>
        <w:t>.</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Lead on cultural change, engendering resilience and aspiring to have a workforce that is representative of the communities we serve and to be an employer of choice.</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Be accountable for the development and delivery of impactful equality, diversity and inclusion outcomes.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Pr>
          <w:rFonts w:ascii="Arial" w:eastAsia="Calibri" w:hAnsi="Arial" w:cs="Times New Roman"/>
        </w:rPr>
        <w:lastRenderedPageBreak/>
        <w:t>Ensure occupational health, fitness</w:t>
      </w:r>
      <w:r w:rsidRPr="00B362C5">
        <w:rPr>
          <w:rFonts w:ascii="Arial" w:eastAsia="Calibri" w:hAnsi="Arial" w:cs="Times New Roman"/>
        </w:rPr>
        <w:t xml:space="preserve"> and wellbeing provision supports the needs of the service in sustaining a resilient and healthy workforce able to deliver services to our communities, as well as support employees as necessary.</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Ensure the service implements and complies with new employment legislation as it arises regarding all of its people matters, processes and procedures.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Design and delivery of the service’s people strategy to ensure it can meet medium to long term strategic objectives.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Develop and maintain effective relationships with the service’s recognised Trade Unions and take a lead role in effective and robust consultation and negotiation</w:t>
      </w:r>
      <w:r>
        <w:rPr>
          <w:rFonts w:ascii="Arial" w:eastAsia="Calibri" w:hAnsi="Arial" w:cs="Times New Roman"/>
        </w:rPr>
        <w:t xml:space="preserve"> to support the services strategic objectives</w:t>
      </w:r>
      <w:r w:rsidRPr="00B362C5">
        <w:rPr>
          <w:rFonts w:ascii="Arial" w:eastAsia="Calibri" w:hAnsi="Arial" w:cs="Times New Roman"/>
        </w:rPr>
        <w:t>.</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hanging="709"/>
        <w:contextualSpacing/>
        <w:jc w:val="both"/>
        <w:rPr>
          <w:rFonts w:ascii="Arial" w:eastAsia="Calibri" w:hAnsi="Arial" w:cs="Times New Roman"/>
        </w:rPr>
      </w:pPr>
      <w:r w:rsidRPr="00B362C5">
        <w:rPr>
          <w:rFonts w:ascii="Arial" w:eastAsia="Calibri" w:hAnsi="Arial" w:cs="Times New Roman"/>
        </w:rPr>
        <w:t>Facilitate, prepare and support recruitment processes for appointments to positions up to and including Director level.</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0"/>
          <w:numId w:val="2"/>
        </w:numPr>
        <w:spacing w:after="0" w:line="240" w:lineRule="auto"/>
        <w:ind w:hanging="720"/>
        <w:contextualSpacing/>
        <w:jc w:val="both"/>
        <w:rPr>
          <w:rFonts w:ascii="Arial" w:eastAsia="Calibri" w:hAnsi="Arial" w:cs="Times New Roman"/>
          <w:b/>
        </w:rPr>
      </w:pPr>
      <w:r w:rsidRPr="00B362C5">
        <w:rPr>
          <w:rFonts w:ascii="Arial" w:eastAsia="Calibri" w:hAnsi="Arial" w:cs="Times New Roman"/>
          <w:b/>
        </w:rPr>
        <w:t>Leadership and management</w:t>
      </w:r>
    </w:p>
    <w:p w:rsidR="008A555E" w:rsidRPr="00B362C5" w:rsidRDefault="008A555E" w:rsidP="008A555E">
      <w:pPr>
        <w:spacing w:after="0" w:line="240" w:lineRule="auto"/>
        <w:jc w:val="both"/>
        <w:rPr>
          <w:rFonts w:ascii="Arial" w:eastAsia="Calibri" w:hAnsi="Arial" w:cs="Times New Roman"/>
          <w:b/>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Provide leadership to and set strategic direction for the People function.</w:t>
      </w:r>
    </w:p>
    <w:p w:rsidR="008A555E" w:rsidRPr="00B362C5" w:rsidRDefault="008A555E" w:rsidP="008A555E">
      <w:pPr>
        <w:spacing w:after="0" w:line="240" w:lineRule="auto"/>
        <w:ind w:left="709"/>
        <w:contextualSpacing/>
        <w:jc w:val="both"/>
        <w:rPr>
          <w:rFonts w:ascii="Arial" w:eastAsia="Calibri" w:hAnsi="Arial" w:cs="Times New Roman"/>
        </w:rPr>
      </w:pPr>
    </w:p>
    <w:p w:rsidR="0020127F" w:rsidRDefault="008A555E" w:rsidP="0020127F">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As a key member of the Executive Team and SLT, contribute to medium to long term strategic planning across all the functions of the service and particularly with regards to people related matters, workforce planning and workforce development, to ensure the appropriate level and distribution of skills.</w:t>
      </w:r>
    </w:p>
    <w:p w:rsidR="0020127F" w:rsidRPr="0020127F" w:rsidRDefault="0020127F" w:rsidP="0020127F">
      <w:pPr>
        <w:spacing w:after="0" w:line="240" w:lineRule="auto"/>
        <w:contextualSpacing/>
        <w:jc w:val="both"/>
        <w:rPr>
          <w:rFonts w:ascii="Arial" w:eastAsia="Calibri" w:hAnsi="Arial" w:cs="Times New Roman"/>
        </w:rPr>
      </w:pPr>
    </w:p>
    <w:p w:rsidR="0020127F" w:rsidRPr="00B362C5" w:rsidRDefault="0020127F" w:rsidP="008A555E">
      <w:pPr>
        <w:numPr>
          <w:ilvl w:val="1"/>
          <w:numId w:val="2"/>
        </w:numPr>
        <w:spacing w:after="0" w:line="240" w:lineRule="auto"/>
        <w:ind w:left="709"/>
        <w:contextualSpacing/>
        <w:jc w:val="both"/>
        <w:rPr>
          <w:rFonts w:ascii="Arial" w:eastAsia="Calibri" w:hAnsi="Arial" w:cs="Times New Roman"/>
        </w:rPr>
      </w:pPr>
      <w:r>
        <w:rPr>
          <w:rFonts w:ascii="Arial" w:eastAsia="Calibri" w:hAnsi="Arial" w:cs="Times New Roman"/>
        </w:rPr>
        <w:t>As a member of the SLT, contribute to major incident planning and delivery, particularly with regards to people related matters.</w:t>
      </w:r>
    </w:p>
    <w:p w:rsidR="008A555E" w:rsidRPr="00B362C5" w:rsidRDefault="008A555E" w:rsidP="008A555E">
      <w:pPr>
        <w:spacing w:after="0" w:line="240" w:lineRule="auto"/>
        <w:ind w:left="709"/>
        <w:contextualSpacing/>
        <w:jc w:val="both"/>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Provide strategic advice and guidance to the People function teams on all complex people issues, including employment legislation and employee relations involving detailed legal advice and risk management.</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Ensure all people policies, procedures and practices are up to date and in line with current employment legislation and good practice.</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Ensure the effective and timely delivery of the workforce plan, in line with recruitment, retention and specialist skill requirements to ensure optimum service delivery in all functions of the service.</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 xml:space="preserve">Ensure all recruitment </w:t>
      </w:r>
      <w:r>
        <w:rPr>
          <w:rFonts w:ascii="Arial" w:eastAsia="Calibri" w:hAnsi="Arial" w:cs="Times New Roman"/>
        </w:rPr>
        <w:t xml:space="preserve">and promotional </w:t>
      </w:r>
      <w:r w:rsidRPr="00B362C5">
        <w:rPr>
          <w:rFonts w:ascii="Arial" w:eastAsia="Calibri" w:hAnsi="Arial" w:cs="Times New Roman"/>
        </w:rPr>
        <w:t>activity across the service is managed in a fair, transparent and effective way.</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Support the Executive Team and SLT’s commitment to maintaining and improving the service’s core values and behaviours and the national core code of ethics.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Represent the service and people function at meetings of SYFRA, preparing and presenting reports as necessary and respond to/liaise with Members on people related matters.</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Represent the service on all people related issues at regional and national groups, as agreed by the CFO/CEO.</w:t>
      </w:r>
    </w:p>
    <w:p w:rsidR="008A555E" w:rsidRPr="00B362C5" w:rsidRDefault="008A555E" w:rsidP="008A555E">
      <w:pPr>
        <w:spacing w:after="200" w:line="276" w:lineRule="auto"/>
        <w:ind w:left="720"/>
        <w:contextualSpacing/>
        <w:rPr>
          <w:rFonts w:ascii="Arial" w:eastAsia="Calibri" w:hAnsi="Arial" w:cs="Times New Roman"/>
        </w:rPr>
      </w:pPr>
    </w:p>
    <w:p w:rsidR="008A555E" w:rsidRPr="00B362C5" w:rsidRDefault="008A555E" w:rsidP="008A555E">
      <w:pPr>
        <w:numPr>
          <w:ilvl w:val="1"/>
          <w:numId w:val="2"/>
        </w:numPr>
        <w:spacing w:after="0" w:line="240" w:lineRule="auto"/>
        <w:ind w:left="709"/>
        <w:contextualSpacing/>
        <w:jc w:val="both"/>
        <w:rPr>
          <w:rFonts w:ascii="Arial" w:eastAsia="Calibri" w:hAnsi="Arial" w:cs="Times New Roman"/>
        </w:rPr>
      </w:pPr>
      <w:r w:rsidRPr="00B362C5">
        <w:rPr>
          <w:rFonts w:ascii="Arial" w:eastAsia="Calibri" w:hAnsi="Arial" w:cs="Times New Roman"/>
        </w:rPr>
        <w:t>Drive the development of effective working relationships with key internal and external customers, clients and partner agencies.</w:t>
      </w:r>
    </w:p>
    <w:p w:rsidR="008A555E" w:rsidRPr="00B362C5" w:rsidRDefault="008A555E" w:rsidP="008A555E">
      <w:pPr>
        <w:spacing w:after="0" w:line="240" w:lineRule="auto"/>
        <w:jc w:val="both"/>
        <w:rPr>
          <w:rFonts w:ascii="Arial" w:eastAsia="Calibri" w:hAnsi="Arial" w:cs="Times New Roman"/>
        </w:rPr>
      </w:pPr>
    </w:p>
    <w:p w:rsidR="008A555E" w:rsidRPr="00B362C5" w:rsidRDefault="008A555E" w:rsidP="008A555E">
      <w:pPr>
        <w:spacing w:after="0" w:line="240" w:lineRule="auto"/>
        <w:jc w:val="both"/>
        <w:rPr>
          <w:rFonts w:ascii="Arial" w:eastAsia="Calibri" w:hAnsi="Arial" w:cs="Times New Roman"/>
          <w:b/>
        </w:rPr>
      </w:pPr>
      <w:r w:rsidRPr="00B362C5">
        <w:rPr>
          <w:rFonts w:ascii="Arial" w:eastAsia="Calibri" w:hAnsi="Arial" w:cs="Times New Roman"/>
          <w:b/>
        </w:rPr>
        <w:lastRenderedPageBreak/>
        <w:t xml:space="preserve">7. </w:t>
      </w:r>
      <w:r w:rsidRPr="00B362C5">
        <w:rPr>
          <w:rFonts w:ascii="Arial" w:eastAsia="Calibri" w:hAnsi="Arial" w:cs="Times New Roman"/>
          <w:b/>
        </w:rPr>
        <w:tab/>
        <w:t>General</w:t>
      </w:r>
    </w:p>
    <w:p w:rsidR="008A555E" w:rsidRPr="00B362C5" w:rsidRDefault="008A555E" w:rsidP="008A555E">
      <w:pPr>
        <w:spacing w:after="0" w:line="240" w:lineRule="auto"/>
        <w:jc w:val="both"/>
        <w:rPr>
          <w:rFonts w:ascii="Arial" w:eastAsia="Calibri" w:hAnsi="Arial" w:cs="Times New Roman"/>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Times New Roman" w:hAnsi="Arial" w:cs="Arial"/>
        </w:rPr>
        <w:t>Comply at all times with the employee code of conduct, service behaviours and code of ethics for fire and rescue staff.</w:t>
      </w:r>
    </w:p>
    <w:p w:rsidR="008A555E" w:rsidRPr="00B362C5" w:rsidRDefault="008A555E" w:rsidP="008A555E">
      <w:pPr>
        <w:spacing w:after="0" w:line="240" w:lineRule="auto"/>
        <w:ind w:left="709" w:hanging="709"/>
        <w:contextualSpacing/>
        <w:jc w:val="both"/>
        <w:rPr>
          <w:rFonts w:ascii="Arial" w:eastAsia="Times New Roman"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Fully participate in the service’s personal review process appropriate to the requirements of the role.</w:t>
      </w:r>
    </w:p>
    <w:p w:rsidR="008A555E" w:rsidRPr="00B362C5" w:rsidRDefault="008A555E" w:rsidP="008A555E">
      <w:pPr>
        <w:spacing w:after="0" w:line="240" w:lineRule="auto"/>
        <w:ind w:left="709" w:hanging="709"/>
        <w:jc w:val="both"/>
        <w:rPr>
          <w:rFonts w:ascii="Arial" w:eastAsia="Times New Roman"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Successfully complete any training and development opportunities required for the role.</w:t>
      </w:r>
    </w:p>
    <w:p w:rsidR="008A555E" w:rsidRPr="00B362C5" w:rsidRDefault="008A555E" w:rsidP="008A555E">
      <w:pPr>
        <w:spacing w:after="0" w:line="240" w:lineRule="auto"/>
        <w:ind w:left="709" w:hanging="709"/>
        <w:jc w:val="both"/>
        <w:rPr>
          <w:rFonts w:ascii="Arial" w:eastAsia="Times New Roman"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Practice and promote the service’s equality &amp; diversity and health, safety &amp; wellbeing policies.</w:t>
      </w:r>
    </w:p>
    <w:p w:rsidR="008A555E" w:rsidRPr="00B362C5" w:rsidRDefault="008A555E" w:rsidP="008A555E">
      <w:pPr>
        <w:spacing w:after="0" w:line="240" w:lineRule="auto"/>
        <w:jc w:val="both"/>
        <w:rPr>
          <w:rFonts w:ascii="Arial" w:eastAsia="Times New Roman"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Ensure risk is managed effectively within the section in accordance with the service’s strategies and plans.</w:t>
      </w:r>
      <w:r w:rsidRPr="00B362C5">
        <w:rPr>
          <w:rFonts w:ascii="Arial" w:eastAsia="Calibri" w:hAnsi="Arial" w:cs="Arial"/>
          <w:b/>
          <w:bCs/>
          <w:i/>
          <w:iCs/>
        </w:rPr>
        <w:t xml:space="preserve"> </w:t>
      </w:r>
      <w:r w:rsidRPr="00B362C5">
        <w:rPr>
          <w:rFonts w:ascii="Arial" w:eastAsia="Calibri" w:hAnsi="Arial" w:cs="Arial"/>
          <w:bCs/>
          <w:iCs/>
        </w:rPr>
        <w:t>This will also include the duty to comply with SYFR safeguarding procedures where there are concerns about the abuse and/or neglect of a child or an adult at risk</w:t>
      </w:r>
      <w:r w:rsidRPr="00B362C5">
        <w:rPr>
          <w:rFonts w:ascii="Arial" w:eastAsia="Calibri" w:hAnsi="Arial" w:cs="Arial"/>
          <w:bCs/>
          <w:i/>
          <w:iCs/>
        </w:rPr>
        <w:t>.</w:t>
      </w:r>
    </w:p>
    <w:p w:rsidR="008A555E" w:rsidRPr="00B362C5" w:rsidRDefault="008A555E" w:rsidP="008A555E">
      <w:pPr>
        <w:spacing w:after="200" w:line="276" w:lineRule="auto"/>
        <w:ind w:left="720"/>
        <w:contextualSpacing/>
        <w:rPr>
          <w:rFonts w:ascii="Arial" w:eastAsia="Calibri"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Be responsible for the accurate and appropriate security and processing of data, ensuring compliance with organisational policies and procedures (i.e. data protection).</w:t>
      </w:r>
    </w:p>
    <w:p w:rsidR="008A555E" w:rsidRPr="00B362C5" w:rsidRDefault="008A555E" w:rsidP="008A555E">
      <w:pPr>
        <w:spacing w:after="200" w:line="276" w:lineRule="auto"/>
        <w:ind w:left="720"/>
        <w:contextualSpacing/>
        <w:rPr>
          <w:rFonts w:ascii="Arial" w:eastAsia="Calibri"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Proactively identify and support continuous improvements to ways of working within own areas of responsibility, the wider team and the organisation.</w:t>
      </w:r>
    </w:p>
    <w:p w:rsidR="008A555E" w:rsidRPr="00B362C5" w:rsidRDefault="008A555E" w:rsidP="008A555E">
      <w:pPr>
        <w:spacing w:after="200" w:line="276" w:lineRule="auto"/>
        <w:ind w:left="720"/>
        <w:contextualSpacing/>
        <w:rPr>
          <w:rFonts w:ascii="Arial" w:eastAsia="Calibri" w:hAnsi="Arial" w:cs="Arial"/>
        </w:rPr>
      </w:pPr>
    </w:p>
    <w:p w:rsidR="008A555E" w:rsidRPr="00B362C5" w:rsidRDefault="008A555E" w:rsidP="008A555E">
      <w:pPr>
        <w:numPr>
          <w:ilvl w:val="1"/>
          <w:numId w:val="1"/>
        </w:numPr>
        <w:spacing w:after="0" w:line="240" w:lineRule="auto"/>
        <w:ind w:left="709" w:hanging="709"/>
        <w:contextualSpacing/>
        <w:jc w:val="both"/>
        <w:rPr>
          <w:rFonts w:ascii="Arial" w:eastAsia="Times New Roman" w:hAnsi="Arial" w:cs="Arial"/>
        </w:rPr>
      </w:pPr>
      <w:r w:rsidRPr="00B362C5">
        <w:rPr>
          <w:rFonts w:ascii="Arial" w:eastAsia="Calibri" w:hAnsi="Arial" w:cs="Arial"/>
        </w:rPr>
        <w:t xml:space="preserve">Carry out other duties from time to time as required, appropriate to the grading of this post. </w:t>
      </w:r>
    </w:p>
    <w:p w:rsidR="008A555E" w:rsidRPr="00B362C5" w:rsidRDefault="008A555E" w:rsidP="008A555E">
      <w:pPr>
        <w:spacing w:after="0" w:line="240" w:lineRule="auto"/>
        <w:ind w:left="540" w:hanging="540"/>
        <w:jc w:val="both"/>
        <w:rPr>
          <w:rFonts w:ascii="Arial" w:eastAsia="Calibri" w:hAnsi="Arial" w:cs="Arial"/>
        </w:rPr>
      </w:pPr>
    </w:p>
    <w:p w:rsidR="008A555E" w:rsidRPr="00B362C5" w:rsidRDefault="008A555E" w:rsidP="008A555E">
      <w:pPr>
        <w:spacing w:after="0" w:line="240" w:lineRule="auto"/>
        <w:jc w:val="both"/>
        <w:rPr>
          <w:rFonts w:ascii="Arial" w:eastAsia="Calibri" w:hAnsi="Arial" w:cs="Arial"/>
          <w:b/>
          <w:sz w:val="20"/>
          <w:szCs w:val="20"/>
        </w:rPr>
      </w:pPr>
    </w:p>
    <w:p w:rsidR="008A555E" w:rsidRDefault="008A555E" w:rsidP="008A555E">
      <w:pPr>
        <w:spacing w:after="0" w:line="240" w:lineRule="auto"/>
        <w:rPr>
          <w:rFonts w:ascii="Arial" w:eastAsia="Calibri" w:hAnsi="Arial" w:cs="Arial"/>
        </w:rPr>
      </w:pPr>
      <w:r w:rsidRPr="00B362C5">
        <w:rPr>
          <w:rFonts w:ascii="Arial" w:eastAsia="Calibri" w:hAnsi="Arial" w:cs="Arial"/>
          <w:b/>
          <w:sz w:val="20"/>
          <w:szCs w:val="20"/>
        </w:rPr>
        <w:t>NOTE:</w:t>
      </w:r>
      <w:r w:rsidRPr="00B362C5">
        <w:rPr>
          <w:rFonts w:ascii="Arial" w:eastAsia="Calibri" w:hAnsi="Arial" w:cs="Arial"/>
          <w:sz w:val="20"/>
          <w:szCs w:val="20"/>
        </w:rPr>
        <w:tab/>
        <w:t>This document is produced as a guide to the general nature of the post and the list of duties is neither exhaustive nor exclusive</w:t>
      </w:r>
      <w:r w:rsidRPr="00B362C5">
        <w:rPr>
          <w:rFonts w:ascii="Arial" w:eastAsia="Calibri" w:hAnsi="Arial" w:cs="Arial"/>
        </w:rPr>
        <w:t>.</w:t>
      </w:r>
    </w:p>
    <w:p w:rsidR="008A555E" w:rsidRDefault="008A555E" w:rsidP="008A555E">
      <w:pPr>
        <w:spacing w:after="0" w:line="240" w:lineRule="auto"/>
        <w:rPr>
          <w:rFonts w:ascii="Arial" w:eastAsia="Calibri" w:hAnsi="Arial" w:cs="Arial"/>
        </w:rPr>
      </w:pPr>
    </w:p>
    <w:p w:rsidR="007261E0" w:rsidRDefault="007261E0">
      <w:pPr>
        <w:rPr>
          <w:rFonts w:ascii="Arial" w:eastAsia="Calibri" w:hAnsi="Arial" w:cs="Arial"/>
          <w:b/>
        </w:rPr>
      </w:pPr>
      <w:r>
        <w:rPr>
          <w:rFonts w:ascii="Arial" w:eastAsia="Calibri" w:hAnsi="Arial" w:cs="Arial"/>
          <w:b/>
        </w:rPr>
        <w:br w:type="page"/>
      </w:r>
    </w:p>
    <w:p w:rsidR="008A555E" w:rsidRDefault="008A555E" w:rsidP="008A555E">
      <w:pPr>
        <w:spacing w:after="0" w:line="240" w:lineRule="auto"/>
        <w:rPr>
          <w:rFonts w:ascii="Arial" w:eastAsia="Calibri" w:hAnsi="Arial" w:cs="Arial"/>
          <w:b/>
        </w:rPr>
      </w:pPr>
      <w:bookmarkStart w:id="0" w:name="_GoBack"/>
      <w:bookmarkEnd w:id="0"/>
    </w:p>
    <w:p w:rsidR="008A555E" w:rsidRPr="00B362C5" w:rsidRDefault="008A555E" w:rsidP="008A555E">
      <w:pPr>
        <w:spacing w:after="0" w:line="240" w:lineRule="auto"/>
        <w:rPr>
          <w:rFonts w:ascii="Arial" w:eastAsia="Calibri" w:hAnsi="Arial" w:cs="Arial"/>
        </w:rPr>
      </w:pPr>
      <w:r w:rsidRPr="00B362C5">
        <w:rPr>
          <w:rFonts w:ascii="Arial" w:eastAsia="Calibri" w:hAnsi="Arial" w:cs="Arial"/>
          <w:b/>
        </w:rPr>
        <w:t>PERSON SPECIFICATION</w:t>
      </w:r>
    </w:p>
    <w:p w:rsidR="008A555E" w:rsidRPr="00B362C5" w:rsidRDefault="008A555E" w:rsidP="008A555E">
      <w:pPr>
        <w:spacing w:after="200" w:line="276" w:lineRule="auto"/>
        <w:jc w:val="center"/>
        <w:rPr>
          <w:rFonts w:ascii="Arial" w:eastAsia="Calibri" w:hAnsi="Arial" w:cs="Arial"/>
          <w:b/>
        </w:rPr>
      </w:pPr>
    </w:p>
    <w:tbl>
      <w:tblPr>
        <w:tblW w:w="99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1582"/>
        <w:gridCol w:w="1437"/>
        <w:gridCol w:w="1350"/>
        <w:gridCol w:w="15"/>
      </w:tblGrid>
      <w:tr w:rsidR="008A555E" w:rsidRPr="00B362C5" w:rsidTr="008E6494">
        <w:trPr>
          <w:gridAfter w:val="1"/>
          <w:wAfter w:w="15" w:type="dxa"/>
          <w:trHeight w:val="340"/>
        </w:trPr>
        <w:tc>
          <w:tcPr>
            <w:tcW w:w="7110" w:type="dxa"/>
            <w:gridSpan w:val="3"/>
            <w:tcBorders>
              <w:bottom w:val="single" w:sz="4" w:space="0" w:color="auto"/>
            </w:tcBorders>
            <w:shd w:val="clear" w:color="auto" w:fill="DAEEF3"/>
            <w:vAlign w:val="center"/>
          </w:tcPr>
          <w:p w:rsidR="008A555E" w:rsidRPr="00B362C5" w:rsidRDefault="008A555E" w:rsidP="008E6494">
            <w:pPr>
              <w:spacing w:after="0" w:line="240" w:lineRule="auto"/>
              <w:rPr>
                <w:rFonts w:ascii="Arial" w:eastAsia="Calibri" w:hAnsi="Arial" w:cs="Arial"/>
                <w:b/>
                <w:lang w:val="en-US"/>
              </w:rPr>
            </w:pPr>
            <w:r w:rsidRPr="00B362C5">
              <w:rPr>
                <w:rFonts w:ascii="Arial" w:eastAsia="Calibri" w:hAnsi="Arial" w:cs="Arial"/>
                <w:b/>
                <w:lang w:val="en-US"/>
              </w:rPr>
              <w:t>Criteria</w:t>
            </w:r>
          </w:p>
        </w:tc>
        <w:tc>
          <w:tcPr>
            <w:tcW w:w="1437" w:type="dxa"/>
            <w:tcBorders>
              <w:bottom w:val="single" w:sz="4" w:space="0" w:color="auto"/>
            </w:tcBorders>
            <w:shd w:val="clear" w:color="auto" w:fill="DAEEF3"/>
            <w:vAlign w:val="center"/>
          </w:tcPr>
          <w:p w:rsidR="008A555E" w:rsidRPr="00B362C5" w:rsidRDefault="008A555E" w:rsidP="008E6494">
            <w:pPr>
              <w:spacing w:after="0" w:line="240" w:lineRule="auto"/>
              <w:jc w:val="center"/>
              <w:rPr>
                <w:rFonts w:ascii="Arial" w:eastAsia="Calibri" w:hAnsi="Arial" w:cs="Arial"/>
                <w:b/>
                <w:lang w:val="en-US"/>
              </w:rPr>
            </w:pPr>
            <w:r w:rsidRPr="00B362C5">
              <w:rPr>
                <w:rFonts w:ascii="Arial" w:eastAsia="Calibri" w:hAnsi="Arial" w:cs="Arial"/>
                <w:b/>
                <w:lang w:val="en-US"/>
              </w:rPr>
              <w:t>Essential</w:t>
            </w:r>
          </w:p>
        </w:tc>
        <w:tc>
          <w:tcPr>
            <w:tcW w:w="1350" w:type="dxa"/>
            <w:tcBorders>
              <w:bottom w:val="single" w:sz="4" w:space="0" w:color="auto"/>
            </w:tcBorders>
            <w:shd w:val="clear" w:color="auto" w:fill="DAEEF3"/>
            <w:vAlign w:val="center"/>
          </w:tcPr>
          <w:p w:rsidR="008A555E" w:rsidRPr="00B362C5" w:rsidRDefault="008A555E" w:rsidP="008E6494">
            <w:pPr>
              <w:spacing w:after="0" w:line="240" w:lineRule="auto"/>
              <w:jc w:val="center"/>
              <w:rPr>
                <w:rFonts w:ascii="Arial" w:eastAsia="Calibri" w:hAnsi="Arial" w:cs="Arial"/>
                <w:b/>
                <w:lang w:val="en-US"/>
              </w:rPr>
            </w:pPr>
            <w:r w:rsidRPr="00B362C5">
              <w:rPr>
                <w:rFonts w:ascii="Arial" w:eastAsia="Calibri" w:hAnsi="Arial" w:cs="Arial"/>
                <w:b/>
                <w:lang w:val="en-US"/>
              </w:rPr>
              <w:t>Desirable</w:t>
            </w:r>
          </w:p>
        </w:tc>
      </w:tr>
      <w:tr w:rsidR="008A555E" w:rsidRPr="00B362C5" w:rsidTr="008E6494">
        <w:trPr>
          <w:trHeight w:val="340"/>
        </w:trPr>
        <w:tc>
          <w:tcPr>
            <w:tcW w:w="2764" w:type="dxa"/>
            <w:tcBorders>
              <w:bottom w:val="single" w:sz="4" w:space="0" w:color="auto"/>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r w:rsidRPr="00B362C5">
              <w:rPr>
                <w:rFonts w:ascii="Arial" w:eastAsia="Calibri" w:hAnsi="Arial" w:cs="Arial"/>
                <w:b/>
                <w:lang w:val="en-US"/>
              </w:rPr>
              <w:t>Qualifications</w:t>
            </w:r>
          </w:p>
        </w:tc>
        <w:tc>
          <w:tcPr>
            <w:tcW w:w="2764" w:type="dxa"/>
            <w:tcBorders>
              <w:left w:val="nil"/>
              <w:bottom w:val="single" w:sz="4" w:space="0" w:color="auto"/>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c>
          <w:tcPr>
            <w:tcW w:w="4384" w:type="dxa"/>
            <w:gridSpan w:val="4"/>
            <w:tcBorders>
              <w:left w:val="nil"/>
              <w:bottom w:val="single" w:sz="4" w:space="0" w:color="auto"/>
              <w:right w:val="single" w:sz="4" w:space="0" w:color="auto"/>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r>
      <w:tr w:rsidR="008A555E" w:rsidRPr="00B362C5" w:rsidTr="008E6494">
        <w:trPr>
          <w:gridAfter w:val="1"/>
          <w:wAfter w:w="15" w:type="dxa"/>
          <w:trHeight w:val="340"/>
        </w:trPr>
        <w:tc>
          <w:tcPr>
            <w:tcW w:w="7110" w:type="dxa"/>
            <w:gridSpan w:val="3"/>
            <w:tcBorders>
              <w:top w:val="single" w:sz="4" w:space="0" w:color="auto"/>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Masters Degree in relevant people related subject or extensive equivalent professional expertise</w:t>
            </w:r>
          </w:p>
        </w:tc>
        <w:tc>
          <w:tcPr>
            <w:tcW w:w="1437" w:type="dxa"/>
            <w:tcBorders>
              <w:top w:val="single" w:sz="4" w:space="0" w:color="auto"/>
              <w:lef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top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right w:val="single" w:sz="4" w:space="0" w:color="auto"/>
            </w:tcBorders>
            <w:vAlign w:val="center"/>
          </w:tcPr>
          <w:p w:rsidR="008A555E" w:rsidRPr="00B362C5" w:rsidRDefault="008A555E" w:rsidP="002B2704">
            <w:pPr>
              <w:spacing w:after="0" w:line="240" w:lineRule="auto"/>
              <w:rPr>
                <w:rFonts w:ascii="Arial" w:eastAsia="Calibri" w:hAnsi="Arial" w:cs="Arial"/>
                <w:lang w:val="en-US"/>
              </w:rPr>
            </w:pPr>
            <w:r w:rsidRPr="00B362C5">
              <w:rPr>
                <w:rFonts w:ascii="Arial" w:eastAsia="Calibri" w:hAnsi="Arial" w:cs="Arial"/>
                <w:lang w:val="en-US"/>
              </w:rPr>
              <w:t>Professionally qualified to CIPD Level 7 (Fellow)</w:t>
            </w:r>
            <w:r>
              <w:rPr>
                <w:rFonts w:ascii="Arial" w:eastAsia="Calibri" w:hAnsi="Arial" w:cs="Arial"/>
                <w:lang w:val="en-US"/>
              </w:rPr>
              <w:t xml:space="preserve"> or </w:t>
            </w:r>
            <w:r w:rsidR="002B2704">
              <w:rPr>
                <w:rFonts w:ascii="Arial" w:eastAsia="Calibri" w:hAnsi="Arial" w:cs="Arial"/>
                <w:lang w:val="en-US"/>
              </w:rPr>
              <w:t>agreement</w:t>
            </w:r>
            <w:r>
              <w:rPr>
                <w:rFonts w:ascii="Arial" w:eastAsia="Calibri" w:hAnsi="Arial" w:cs="Arial"/>
                <w:lang w:val="en-US"/>
              </w:rPr>
              <w:t xml:space="preserve"> to ach</w:t>
            </w:r>
            <w:r w:rsidR="002B2704">
              <w:rPr>
                <w:rFonts w:ascii="Arial" w:eastAsia="Calibri" w:hAnsi="Arial" w:cs="Arial"/>
                <w:lang w:val="en-US"/>
              </w:rPr>
              <w:t>ieve within an agreed timescale</w:t>
            </w:r>
          </w:p>
        </w:tc>
        <w:tc>
          <w:tcPr>
            <w:tcW w:w="1437"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tcBorders>
            <w:vAlign w:val="center"/>
          </w:tcPr>
          <w:p w:rsidR="008A555E" w:rsidRPr="00B362C5" w:rsidRDefault="008A555E" w:rsidP="008E6494">
            <w:pPr>
              <w:spacing w:after="0" w:line="240" w:lineRule="auto"/>
              <w:rPr>
                <w:rFonts w:ascii="Arial" w:eastAsia="Calibri" w:hAnsi="Arial" w:cs="Times New Roman"/>
              </w:rPr>
            </w:pPr>
            <w:r w:rsidRPr="00B362C5">
              <w:rPr>
                <w:rFonts w:ascii="Arial" w:eastAsia="Calibri" w:hAnsi="Arial" w:cs="Times New Roman"/>
              </w:rPr>
              <w:t>Evidence of continued professional development</w:t>
            </w:r>
          </w:p>
        </w:tc>
        <w:tc>
          <w:tcPr>
            <w:tcW w:w="1437"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trHeight w:val="340"/>
        </w:trPr>
        <w:tc>
          <w:tcPr>
            <w:tcW w:w="2764" w:type="dxa"/>
            <w:tcBorders>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r w:rsidRPr="00B362C5">
              <w:rPr>
                <w:rFonts w:ascii="Arial" w:eastAsia="Calibri" w:hAnsi="Arial" w:cs="Arial"/>
                <w:b/>
                <w:lang w:val="en-US"/>
              </w:rPr>
              <w:t>Knowledge &amp; Skills</w:t>
            </w:r>
          </w:p>
        </w:tc>
        <w:tc>
          <w:tcPr>
            <w:tcW w:w="2764" w:type="dxa"/>
            <w:tcBorders>
              <w:left w:val="nil"/>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c>
          <w:tcPr>
            <w:tcW w:w="4384" w:type="dxa"/>
            <w:gridSpan w:val="4"/>
            <w:tcBorders>
              <w:left w:val="nil"/>
              <w:right w:val="single" w:sz="4" w:space="0" w:color="auto"/>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r>
      <w:tr w:rsidR="008A555E" w:rsidRPr="00B362C5" w:rsidTr="008E6494">
        <w:trPr>
          <w:gridAfter w:val="1"/>
          <w:wAfter w:w="15" w:type="dxa"/>
          <w:trHeight w:val="340"/>
        </w:trPr>
        <w:tc>
          <w:tcPr>
            <w:tcW w:w="7110" w:type="dxa"/>
            <w:gridSpan w:val="3"/>
            <w:vAlign w:val="center"/>
          </w:tcPr>
          <w:p w:rsidR="008A555E" w:rsidRPr="00B362C5" w:rsidRDefault="008A555E" w:rsidP="008E6494">
            <w:pPr>
              <w:spacing w:after="0" w:line="240" w:lineRule="auto"/>
              <w:rPr>
                <w:rFonts w:ascii="Arial" w:eastAsia="Calibri" w:hAnsi="Arial" w:cs="Arial"/>
              </w:rPr>
            </w:pPr>
            <w:r w:rsidRPr="00B362C5">
              <w:rPr>
                <w:rFonts w:ascii="Arial" w:eastAsia="Calibri" w:hAnsi="Arial" w:cs="Arial"/>
              </w:rPr>
              <w:t>Extensive technical and strategic people management knowledge</w:t>
            </w:r>
          </w:p>
        </w:tc>
        <w:tc>
          <w:tcPr>
            <w:tcW w:w="1437" w:type="dxa"/>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vAlign w:val="center"/>
          </w:tcPr>
          <w:p w:rsidR="008A555E" w:rsidRPr="00B362C5" w:rsidRDefault="008A555E" w:rsidP="008E6494">
            <w:pPr>
              <w:spacing w:after="0" w:line="240" w:lineRule="auto"/>
              <w:rPr>
                <w:rFonts w:ascii="Arial" w:eastAsia="Calibri" w:hAnsi="Arial" w:cs="Arial"/>
              </w:rPr>
            </w:pPr>
            <w:r w:rsidRPr="00B362C5">
              <w:rPr>
                <w:rFonts w:ascii="Arial" w:eastAsia="Calibri" w:hAnsi="Arial" w:cs="Arial"/>
              </w:rPr>
              <w:t>Exceptional relationship management skills, including excellent interpersonal and diplomacy skills</w:t>
            </w:r>
          </w:p>
        </w:tc>
        <w:tc>
          <w:tcPr>
            <w:tcW w:w="1437" w:type="dxa"/>
            <w:vAlign w:val="center"/>
          </w:tcPr>
          <w:p w:rsidR="008A555E" w:rsidRPr="00B362C5" w:rsidRDefault="008A555E" w:rsidP="008E6494">
            <w:pPr>
              <w:spacing w:after="0" w:line="240" w:lineRule="auto"/>
              <w:jc w:val="center"/>
              <w:rPr>
                <w:rFonts w:ascii="Arial" w:eastAsia="Calibri" w:hAnsi="Arial" w:cs="Arial"/>
              </w:rPr>
            </w:pPr>
            <w:r w:rsidRPr="00B362C5">
              <w:rPr>
                <w:rFonts w:ascii="Arial" w:eastAsia="Calibri" w:hAnsi="Arial" w:cs="Arial"/>
              </w:rPr>
              <w:t>X</w:t>
            </w:r>
          </w:p>
        </w:tc>
        <w:tc>
          <w:tcPr>
            <w:tcW w:w="1350" w:type="dxa"/>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Robust consultation, negotiation and influencing skills</w:t>
            </w:r>
          </w:p>
        </w:tc>
        <w:tc>
          <w:tcPr>
            <w:tcW w:w="1437"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Effective and confident leadership style</w:t>
            </w:r>
          </w:p>
        </w:tc>
        <w:tc>
          <w:tcPr>
            <w:tcW w:w="1437"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trHeight w:val="340"/>
        </w:trPr>
        <w:tc>
          <w:tcPr>
            <w:tcW w:w="2764" w:type="dxa"/>
            <w:tcBorders>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r w:rsidRPr="00B362C5">
              <w:rPr>
                <w:rFonts w:ascii="Arial" w:eastAsia="Calibri" w:hAnsi="Arial" w:cs="Arial"/>
                <w:b/>
                <w:lang w:val="en-US"/>
              </w:rPr>
              <w:t>Experience</w:t>
            </w:r>
          </w:p>
        </w:tc>
        <w:tc>
          <w:tcPr>
            <w:tcW w:w="2764" w:type="dxa"/>
            <w:tcBorders>
              <w:left w:val="nil"/>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c>
          <w:tcPr>
            <w:tcW w:w="4384" w:type="dxa"/>
            <w:gridSpan w:val="4"/>
            <w:tcBorders>
              <w:left w:val="nil"/>
              <w:right w:val="single" w:sz="4" w:space="0" w:color="auto"/>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r>
      <w:tr w:rsidR="008A555E" w:rsidRPr="00B362C5" w:rsidTr="008E6494">
        <w:trPr>
          <w:gridAfter w:val="1"/>
          <w:wAfter w:w="15" w:type="dxa"/>
          <w:trHeight w:val="340"/>
        </w:trPr>
        <w:tc>
          <w:tcPr>
            <w:tcW w:w="7110" w:type="dxa"/>
            <w:gridSpan w:val="3"/>
            <w:tcBorders>
              <w:bottom w:val="single" w:sz="4" w:space="0" w:color="auto"/>
            </w:tcBorders>
            <w:vAlign w:val="center"/>
          </w:tcPr>
          <w:p w:rsidR="008A555E" w:rsidRPr="00B362C5" w:rsidRDefault="008A555E" w:rsidP="008E6494">
            <w:pPr>
              <w:spacing w:after="0" w:line="240" w:lineRule="auto"/>
              <w:rPr>
                <w:rFonts w:ascii="Arial" w:eastAsia="Calibri" w:hAnsi="Arial" w:cs="Times New Roman"/>
              </w:rPr>
            </w:pPr>
            <w:r w:rsidRPr="00B362C5">
              <w:rPr>
                <w:rFonts w:ascii="Arial" w:eastAsia="Calibri" w:hAnsi="Arial" w:cs="Times New Roman"/>
              </w:rPr>
              <w:t>Significant strategic leadership and people management experience in large and complex organisations</w:t>
            </w:r>
          </w:p>
        </w:tc>
        <w:tc>
          <w:tcPr>
            <w:tcW w:w="1437"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right w:val="single" w:sz="4" w:space="0" w:color="auto"/>
            </w:tcBorders>
            <w:vAlign w:val="center"/>
          </w:tcPr>
          <w:p w:rsidR="008A555E" w:rsidRPr="00B362C5" w:rsidRDefault="008A555E" w:rsidP="008E6494">
            <w:pPr>
              <w:tabs>
                <w:tab w:val="center" w:pos="4513"/>
                <w:tab w:val="right" w:pos="9026"/>
              </w:tabs>
              <w:spacing w:after="0" w:line="240" w:lineRule="auto"/>
              <w:rPr>
                <w:rFonts w:ascii="Arial" w:eastAsia="Calibri" w:hAnsi="Arial" w:cs="Arial"/>
              </w:rPr>
            </w:pPr>
            <w:r w:rsidRPr="00B362C5">
              <w:rPr>
                <w:rFonts w:ascii="Arial" w:eastAsia="Calibri" w:hAnsi="Arial" w:cs="Arial"/>
              </w:rPr>
              <w:t>Significant employee relations experience in a unionised environment</w:t>
            </w:r>
          </w:p>
        </w:tc>
        <w:tc>
          <w:tcPr>
            <w:tcW w:w="1437"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b/>
                <w:lang w:val="en-US"/>
              </w:rPr>
            </w:pPr>
          </w:p>
        </w:tc>
      </w:tr>
      <w:tr w:rsidR="008A555E" w:rsidRPr="00B362C5" w:rsidTr="008E6494">
        <w:trPr>
          <w:gridAfter w:val="1"/>
          <w:wAfter w:w="15" w:type="dxa"/>
          <w:trHeight w:val="340"/>
        </w:trPr>
        <w:tc>
          <w:tcPr>
            <w:tcW w:w="7110" w:type="dxa"/>
            <w:gridSpan w:val="3"/>
            <w:vAlign w:val="center"/>
          </w:tcPr>
          <w:p w:rsidR="008A555E" w:rsidRPr="00B362C5" w:rsidRDefault="008A555E" w:rsidP="008E6494">
            <w:pPr>
              <w:spacing w:after="0" w:line="240" w:lineRule="auto"/>
              <w:rPr>
                <w:rFonts w:ascii="Arial" w:eastAsia="Calibri" w:hAnsi="Arial" w:cs="Arial"/>
              </w:rPr>
            </w:pPr>
            <w:r w:rsidRPr="00B362C5">
              <w:rPr>
                <w:rFonts w:ascii="Arial" w:eastAsia="Calibri" w:hAnsi="Arial" w:cs="Arial"/>
              </w:rPr>
              <w:t>Experience of change and culture management in large complex organisations</w:t>
            </w:r>
          </w:p>
        </w:tc>
        <w:tc>
          <w:tcPr>
            <w:tcW w:w="1437" w:type="dxa"/>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tcBorders>
            <w:vAlign w:val="center"/>
          </w:tcPr>
          <w:p w:rsidR="008A555E" w:rsidRPr="00B362C5" w:rsidRDefault="008A555E" w:rsidP="008E6494">
            <w:pPr>
              <w:spacing w:after="0" w:line="240" w:lineRule="auto"/>
              <w:rPr>
                <w:rFonts w:ascii="Arial" w:eastAsia="Calibri" w:hAnsi="Arial" w:cs="Times New Roman"/>
              </w:rPr>
            </w:pPr>
            <w:r w:rsidRPr="00B362C5">
              <w:rPr>
                <w:rFonts w:ascii="Arial" w:eastAsia="Calibri" w:hAnsi="Arial" w:cs="Times New Roman"/>
              </w:rPr>
              <w:t>Proven track record of delivering people policies and strategies to support organisational objectives and transformational change programmes</w:t>
            </w:r>
          </w:p>
        </w:tc>
        <w:tc>
          <w:tcPr>
            <w:tcW w:w="1437"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bottom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Experience of having worked at a senior level in a political environment</w:t>
            </w:r>
          </w:p>
        </w:tc>
        <w:tc>
          <w:tcPr>
            <w:tcW w:w="1437"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Experience of delivery equality, diversity and inclusion outcomes</w:t>
            </w:r>
          </w:p>
        </w:tc>
        <w:tc>
          <w:tcPr>
            <w:tcW w:w="1437"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Experience in leading major service improvements</w:t>
            </w:r>
          </w:p>
        </w:tc>
        <w:tc>
          <w:tcPr>
            <w:tcW w:w="1437"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bottom w:val="single" w:sz="4" w:space="0" w:color="auto"/>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Experience in leading occupational health and wellbeing teams</w:t>
            </w:r>
          </w:p>
        </w:tc>
        <w:tc>
          <w:tcPr>
            <w:tcW w:w="1437"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c>
          <w:tcPr>
            <w:tcW w:w="1350" w:type="dxa"/>
            <w:tcBorders>
              <w:left w:val="single" w:sz="4" w:space="0" w:color="auto"/>
              <w:bottom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r>
      <w:tr w:rsidR="008A555E" w:rsidRPr="00B362C5" w:rsidTr="008E6494">
        <w:trPr>
          <w:trHeight w:val="340"/>
        </w:trPr>
        <w:tc>
          <w:tcPr>
            <w:tcW w:w="2764" w:type="dxa"/>
            <w:tcBorders>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r w:rsidRPr="00B362C5">
              <w:rPr>
                <w:rFonts w:ascii="Arial" w:eastAsia="Calibri" w:hAnsi="Arial" w:cs="Arial"/>
                <w:b/>
                <w:lang w:val="en-US"/>
              </w:rPr>
              <w:t>Personal Effectiveness</w:t>
            </w:r>
          </w:p>
        </w:tc>
        <w:tc>
          <w:tcPr>
            <w:tcW w:w="2764" w:type="dxa"/>
            <w:tcBorders>
              <w:left w:val="nil"/>
              <w:right w:val="nil"/>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c>
          <w:tcPr>
            <w:tcW w:w="4384" w:type="dxa"/>
            <w:gridSpan w:val="4"/>
            <w:tcBorders>
              <w:left w:val="nil"/>
              <w:right w:val="single" w:sz="4" w:space="0" w:color="auto"/>
            </w:tcBorders>
            <w:shd w:val="clear" w:color="auto" w:fill="DBDBDB" w:themeFill="accent3" w:themeFillTint="66"/>
            <w:vAlign w:val="center"/>
          </w:tcPr>
          <w:p w:rsidR="008A555E" w:rsidRPr="00B362C5" w:rsidRDefault="008A555E" w:rsidP="008E6494">
            <w:pPr>
              <w:spacing w:after="0" w:line="240" w:lineRule="auto"/>
              <w:jc w:val="both"/>
              <w:rPr>
                <w:rFonts w:ascii="Arial" w:eastAsia="Calibri" w:hAnsi="Arial" w:cs="Arial"/>
                <w:b/>
                <w:lang w:val="en-US"/>
              </w:rPr>
            </w:pPr>
          </w:p>
        </w:tc>
      </w:tr>
      <w:tr w:rsidR="008A555E" w:rsidRPr="00B362C5" w:rsidTr="008E6494">
        <w:trPr>
          <w:gridAfter w:val="1"/>
          <w:wAfter w:w="15" w:type="dxa"/>
          <w:trHeight w:val="340"/>
        </w:trPr>
        <w:tc>
          <w:tcPr>
            <w:tcW w:w="7110" w:type="dxa"/>
            <w:gridSpan w:val="3"/>
            <w:tcBorders>
              <w:right w:val="single" w:sz="4" w:space="0" w:color="auto"/>
            </w:tcBorders>
            <w:vAlign w:val="center"/>
          </w:tcPr>
          <w:p w:rsidR="008A555E" w:rsidRPr="00B362C5" w:rsidRDefault="008A555E" w:rsidP="008E6494">
            <w:pPr>
              <w:spacing w:after="0" w:line="240" w:lineRule="auto"/>
              <w:rPr>
                <w:rFonts w:ascii="Arial" w:eastAsia="Calibri" w:hAnsi="Arial" w:cs="Arial"/>
                <w:lang w:val="en-US"/>
              </w:rPr>
            </w:pPr>
            <w:r w:rsidRPr="00B362C5">
              <w:rPr>
                <w:rFonts w:ascii="Arial" w:eastAsia="Calibri" w:hAnsi="Arial" w:cs="Arial"/>
                <w:lang w:val="en-US"/>
              </w:rPr>
              <w:t>Credible, generating trust and confidence</w:t>
            </w:r>
          </w:p>
        </w:tc>
        <w:tc>
          <w:tcPr>
            <w:tcW w:w="1437"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vAlign w:val="center"/>
          </w:tcPr>
          <w:p w:rsidR="008A555E" w:rsidRPr="00B362C5" w:rsidRDefault="008A555E" w:rsidP="008E6494">
            <w:pPr>
              <w:spacing w:after="0" w:line="240" w:lineRule="auto"/>
              <w:rPr>
                <w:rFonts w:ascii="Arial" w:eastAsia="Calibri" w:hAnsi="Arial" w:cs="Arial"/>
              </w:rPr>
            </w:pPr>
            <w:r w:rsidRPr="00B362C5">
              <w:rPr>
                <w:rFonts w:ascii="Arial" w:eastAsia="Calibri" w:hAnsi="Arial" w:cs="Arial"/>
              </w:rPr>
              <w:t>Strong personal integrity, approachable and highly motivated</w:t>
            </w:r>
          </w:p>
        </w:tc>
        <w:tc>
          <w:tcPr>
            <w:tcW w:w="1437" w:type="dxa"/>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vAlign w:val="center"/>
          </w:tcPr>
          <w:p w:rsidR="008A555E" w:rsidRPr="00B362C5" w:rsidRDefault="008A555E" w:rsidP="008E6494">
            <w:pPr>
              <w:spacing w:after="0" w:line="240" w:lineRule="auto"/>
              <w:jc w:val="center"/>
              <w:rPr>
                <w:rFonts w:ascii="Arial" w:eastAsia="Calibri" w:hAnsi="Arial" w:cs="Arial"/>
                <w:lang w:val="en-US"/>
              </w:rPr>
            </w:pPr>
          </w:p>
        </w:tc>
      </w:tr>
      <w:tr w:rsidR="008A555E" w:rsidRPr="00B362C5" w:rsidTr="008E6494">
        <w:trPr>
          <w:gridAfter w:val="1"/>
          <w:wAfter w:w="15" w:type="dxa"/>
          <w:trHeight w:val="340"/>
        </w:trPr>
        <w:tc>
          <w:tcPr>
            <w:tcW w:w="7110" w:type="dxa"/>
            <w:gridSpan w:val="3"/>
            <w:tcBorders>
              <w:right w:val="single" w:sz="4" w:space="0" w:color="auto"/>
            </w:tcBorders>
            <w:shd w:val="clear" w:color="auto" w:fill="D0CECE" w:themeFill="background2" w:themeFillShade="E6"/>
            <w:vAlign w:val="center"/>
          </w:tcPr>
          <w:p w:rsidR="008A555E" w:rsidRPr="00B362C5" w:rsidRDefault="008A555E" w:rsidP="008E6494">
            <w:pPr>
              <w:spacing w:after="0" w:line="240" w:lineRule="auto"/>
              <w:rPr>
                <w:rFonts w:ascii="Arial" w:eastAsia="Calibri" w:hAnsi="Arial" w:cs="Times New Roman"/>
                <w:b/>
              </w:rPr>
            </w:pPr>
            <w:r w:rsidRPr="00B362C5">
              <w:rPr>
                <w:rFonts w:ascii="Arial" w:eastAsia="Calibri" w:hAnsi="Arial" w:cs="Times New Roman"/>
                <w:b/>
              </w:rPr>
              <w:t>Other Requirements</w:t>
            </w:r>
          </w:p>
        </w:tc>
        <w:tc>
          <w:tcPr>
            <w:tcW w:w="1437" w:type="dxa"/>
            <w:tcBorders>
              <w:left w:val="single" w:sz="4" w:space="0" w:color="auto"/>
              <w:right w:val="single" w:sz="4" w:space="0" w:color="auto"/>
            </w:tcBorders>
            <w:shd w:val="clear" w:color="auto" w:fill="D0CECE" w:themeFill="background2" w:themeFillShade="E6"/>
            <w:vAlign w:val="center"/>
          </w:tcPr>
          <w:p w:rsidR="008A555E" w:rsidRPr="00B362C5" w:rsidRDefault="008A555E" w:rsidP="008E6494">
            <w:pPr>
              <w:spacing w:after="0" w:line="240" w:lineRule="auto"/>
              <w:jc w:val="center"/>
              <w:rPr>
                <w:rFonts w:ascii="Arial" w:eastAsia="Calibri" w:hAnsi="Arial" w:cs="Arial"/>
                <w:b/>
                <w:lang w:val="en-US"/>
              </w:rPr>
            </w:pPr>
          </w:p>
        </w:tc>
        <w:tc>
          <w:tcPr>
            <w:tcW w:w="1350" w:type="dxa"/>
            <w:tcBorders>
              <w:left w:val="single" w:sz="4" w:space="0" w:color="auto"/>
              <w:right w:val="single" w:sz="4" w:space="0" w:color="auto"/>
            </w:tcBorders>
            <w:shd w:val="clear" w:color="auto" w:fill="D0CECE" w:themeFill="background2" w:themeFillShade="E6"/>
            <w:vAlign w:val="center"/>
          </w:tcPr>
          <w:p w:rsidR="008A555E" w:rsidRPr="00B362C5" w:rsidRDefault="008A555E" w:rsidP="008E6494">
            <w:pPr>
              <w:spacing w:after="0" w:line="240" w:lineRule="auto"/>
              <w:jc w:val="center"/>
              <w:rPr>
                <w:rFonts w:ascii="Arial" w:eastAsia="Calibri" w:hAnsi="Arial" w:cs="Arial"/>
                <w:b/>
                <w:lang w:val="en-US"/>
              </w:rPr>
            </w:pPr>
          </w:p>
        </w:tc>
      </w:tr>
      <w:tr w:rsidR="008A555E" w:rsidRPr="00B362C5" w:rsidTr="008E6494">
        <w:trPr>
          <w:gridAfter w:val="1"/>
          <w:wAfter w:w="15" w:type="dxa"/>
          <w:trHeight w:val="340"/>
        </w:trPr>
        <w:tc>
          <w:tcPr>
            <w:tcW w:w="7110" w:type="dxa"/>
            <w:gridSpan w:val="3"/>
            <w:tcBorders>
              <w:right w:val="single" w:sz="4" w:space="0" w:color="auto"/>
            </w:tcBorders>
            <w:vAlign w:val="center"/>
          </w:tcPr>
          <w:p w:rsidR="008A555E" w:rsidRPr="00B362C5" w:rsidRDefault="008A555E" w:rsidP="008E6494">
            <w:pPr>
              <w:spacing w:after="0" w:line="240" w:lineRule="auto"/>
              <w:rPr>
                <w:rFonts w:ascii="Arial" w:eastAsia="Calibri" w:hAnsi="Arial" w:cs="Times New Roman"/>
              </w:rPr>
            </w:pPr>
            <w:r w:rsidRPr="00B362C5">
              <w:rPr>
                <w:rFonts w:ascii="Arial" w:eastAsia="Calibri" w:hAnsi="Arial" w:cs="Times New Roman"/>
              </w:rPr>
              <w:t>Able to travel to other locations locally, regionally and nationally</w:t>
            </w:r>
          </w:p>
        </w:tc>
        <w:tc>
          <w:tcPr>
            <w:tcW w:w="1437"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r w:rsidRPr="00B362C5">
              <w:rPr>
                <w:rFonts w:ascii="Arial" w:eastAsia="Calibri" w:hAnsi="Arial" w:cs="Arial"/>
                <w:lang w:val="en-US"/>
              </w:rPr>
              <w:t>X</w:t>
            </w:r>
          </w:p>
        </w:tc>
        <w:tc>
          <w:tcPr>
            <w:tcW w:w="1350" w:type="dxa"/>
            <w:tcBorders>
              <w:left w:val="single" w:sz="4" w:space="0" w:color="auto"/>
              <w:right w:val="single" w:sz="4" w:space="0" w:color="auto"/>
            </w:tcBorders>
            <w:vAlign w:val="center"/>
          </w:tcPr>
          <w:p w:rsidR="008A555E" w:rsidRPr="00B362C5" w:rsidRDefault="008A555E" w:rsidP="008E6494">
            <w:pPr>
              <w:spacing w:after="0" w:line="240" w:lineRule="auto"/>
              <w:jc w:val="center"/>
              <w:rPr>
                <w:rFonts w:ascii="Arial" w:eastAsia="Calibri" w:hAnsi="Arial" w:cs="Arial"/>
                <w:lang w:val="en-US"/>
              </w:rPr>
            </w:pPr>
          </w:p>
        </w:tc>
      </w:tr>
      <w:tr w:rsidR="00BB0DAE" w:rsidRPr="00B362C5" w:rsidTr="008E6494">
        <w:trPr>
          <w:gridAfter w:val="1"/>
          <w:wAfter w:w="15" w:type="dxa"/>
          <w:trHeight w:val="340"/>
        </w:trPr>
        <w:tc>
          <w:tcPr>
            <w:tcW w:w="7110" w:type="dxa"/>
            <w:gridSpan w:val="3"/>
            <w:tcBorders>
              <w:right w:val="single" w:sz="4" w:space="0" w:color="auto"/>
            </w:tcBorders>
            <w:vAlign w:val="center"/>
          </w:tcPr>
          <w:p w:rsidR="00BB0DAE" w:rsidRPr="00B362C5" w:rsidRDefault="00BB0DAE" w:rsidP="008E6494">
            <w:pPr>
              <w:spacing w:after="0" w:line="240" w:lineRule="auto"/>
              <w:rPr>
                <w:rFonts w:ascii="Arial" w:eastAsia="Calibri" w:hAnsi="Arial" w:cs="Times New Roman"/>
              </w:rPr>
            </w:pPr>
            <w:r>
              <w:rPr>
                <w:rFonts w:ascii="Arial" w:eastAsia="Calibri" w:hAnsi="Arial" w:cs="Times New Roman"/>
              </w:rPr>
              <w:t>Able to work flexibly on occasions, particularly during major incidents</w:t>
            </w:r>
          </w:p>
        </w:tc>
        <w:tc>
          <w:tcPr>
            <w:tcW w:w="1437" w:type="dxa"/>
            <w:tcBorders>
              <w:left w:val="single" w:sz="4" w:space="0" w:color="auto"/>
              <w:right w:val="single" w:sz="4" w:space="0" w:color="auto"/>
            </w:tcBorders>
            <w:vAlign w:val="center"/>
          </w:tcPr>
          <w:p w:rsidR="00BB0DAE" w:rsidRPr="00B362C5" w:rsidRDefault="00BB0DAE" w:rsidP="008E6494">
            <w:pPr>
              <w:spacing w:after="0" w:line="240" w:lineRule="auto"/>
              <w:jc w:val="center"/>
              <w:rPr>
                <w:rFonts w:ascii="Arial" w:eastAsia="Calibri" w:hAnsi="Arial" w:cs="Arial"/>
                <w:lang w:val="en-US"/>
              </w:rPr>
            </w:pPr>
            <w:r>
              <w:rPr>
                <w:rFonts w:ascii="Arial" w:eastAsia="Calibri" w:hAnsi="Arial" w:cs="Arial"/>
                <w:lang w:val="en-US"/>
              </w:rPr>
              <w:t>X</w:t>
            </w:r>
          </w:p>
        </w:tc>
        <w:tc>
          <w:tcPr>
            <w:tcW w:w="1350" w:type="dxa"/>
            <w:tcBorders>
              <w:left w:val="single" w:sz="4" w:space="0" w:color="auto"/>
              <w:right w:val="single" w:sz="4" w:space="0" w:color="auto"/>
            </w:tcBorders>
            <w:vAlign w:val="center"/>
          </w:tcPr>
          <w:p w:rsidR="00BB0DAE" w:rsidRPr="00B362C5" w:rsidRDefault="00BB0DAE" w:rsidP="008E6494">
            <w:pPr>
              <w:spacing w:after="0" w:line="240" w:lineRule="auto"/>
              <w:jc w:val="center"/>
              <w:rPr>
                <w:rFonts w:ascii="Arial" w:eastAsia="Calibri" w:hAnsi="Arial" w:cs="Arial"/>
                <w:lang w:val="en-US"/>
              </w:rPr>
            </w:pPr>
          </w:p>
        </w:tc>
      </w:tr>
    </w:tbl>
    <w:p w:rsidR="008A555E" w:rsidRDefault="008A555E" w:rsidP="008A555E">
      <w:pPr>
        <w:spacing w:after="0" w:line="360" w:lineRule="auto"/>
        <w:ind w:right="-46"/>
        <w:rPr>
          <w:rFonts w:ascii="Arial" w:hAnsi="Arial" w:cs="Arial"/>
        </w:rPr>
      </w:pPr>
    </w:p>
    <w:p w:rsidR="008A555E" w:rsidRPr="000F249C" w:rsidRDefault="008A555E" w:rsidP="008A555E">
      <w:pPr>
        <w:spacing w:after="0" w:line="360" w:lineRule="auto"/>
        <w:ind w:right="-46"/>
        <w:rPr>
          <w:rFonts w:ascii="Arial" w:hAnsi="Arial" w:cs="Arial"/>
        </w:rPr>
      </w:pPr>
    </w:p>
    <w:p w:rsidR="004919A1" w:rsidRDefault="004919A1"/>
    <w:sectPr w:rsidR="004919A1" w:rsidSect="005254EE">
      <w:headerReference w:type="default" r:id="rId7"/>
      <w:headerReference w:type="first" r:id="rId8"/>
      <w:pgSz w:w="11906" w:h="16838"/>
      <w:pgMar w:top="142" w:right="1416" w:bottom="1440" w:left="1440" w:header="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8F" w:rsidRDefault="00C728FF">
      <w:pPr>
        <w:spacing w:after="0" w:line="240" w:lineRule="auto"/>
      </w:pPr>
      <w:r>
        <w:separator/>
      </w:r>
    </w:p>
  </w:endnote>
  <w:endnote w:type="continuationSeparator" w:id="0">
    <w:p w:rsidR="00DA778F" w:rsidRDefault="00C7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8F" w:rsidRDefault="00C728FF">
      <w:pPr>
        <w:spacing w:after="0" w:line="240" w:lineRule="auto"/>
      </w:pPr>
      <w:r>
        <w:separator/>
      </w:r>
    </w:p>
  </w:footnote>
  <w:footnote w:type="continuationSeparator" w:id="0">
    <w:p w:rsidR="00DA778F" w:rsidRDefault="00C7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9E2" w:rsidRDefault="007261E0" w:rsidP="005729E2">
    <w:pPr>
      <w:pStyle w:val="Header"/>
      <w:tabs>
        <w:tab w:val="clear" w:pos="9026"/>
      </w:tabs>
      <w:ind w:right="-897"/>
      <w:jc w:val="right"/>
    </w:pPr>
  </w:p>
  <w:p w:rsidR="00F86E1C" w:rsidRPr="005729E2" w:rsidRDefault="007261E0">
    <w:pPr>
      <w:pStyle w:val="Header"/>
      <w:rPr>
        <w:i/>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EE" w:rsidRDefault="002B2704" w:rsidP="005254EE">
    <w:pPr>
      <w:pStyle w:val="Header"/>
      <w:jc w:val="right"/>
    </w:pPr>
    <w:r w:rsidRPr="00F86E1C">
      <w:rPr>
        <w:noProof/>
        <w:lang w:eastAsia="en-GB"/>
      </w:rPr>
      <w:drawing>
        <wp:inline distT="0" distB="0" distL="0" distR="0" wp14:anchorId="0A5F1A16" wp14:editId="7D787E6D">
          <wp:extent cx="2238107" cy="680484"/>
          <wp:effectExtent l="0" t="0" r="0" b="5715"/>
          <wp:docPr id="17" name="Picture 17" descr="C:\Users\ATwigg\Pictures\SYFR_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wigg\Pictures\SYFR_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154" cy="715464"/>
                  </a:xfrm>
                  <a:prstGeom prst="rect">
                    <a:avLst/>
                  </a:prstGeom>
                  <a:noFill/>
                  <a:ln>
                    <a:noFill/>
                  </a:ln>
                </pic:spPr>
              </pic:pic>
            </a:graphicData>
          </a:graphic>
        </wp:inline>
      </w:drawing>
    </w:r>
  </w:p>
  <w:p w:rsidR="005254EE" w:rsidRDefault="007261E0" w:rsidP="005254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41C"/>
    <w:multiLevelType w:val="multilevel"/>
    <w:tmpl w:val="0B32D17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4D8243B"/>
    <w:multiLevelType w:val="multilevel"/>
    <w:tmpl w:val="691CB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E"/>
    <w:rsid w:val="0020127F"/>
    <w:rsid w:val="002B2704"/>
    <w:rsid w:val="004919A1"/>
    <w:rsid w:val="007261E0"/>
    <w:rsid w:val="008A555E"/>
    <w:rsid w:val="00BB0DAE"/>
    <w:rsid w:val="00C728FF"/>
    <w:rsid w:val="00DA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0B2B-17F9-402A-977A-6AC1A62D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55E"/>
  </w:style>
  <w:style w:type="character" w:styleId="CommentReference">
    <w:name w:val="annotation reference"/>
    <w:basedOn w:val="DefaultParagraphFont"/>
    <w:uiPriority w:val="99"/>
    <w:semiHidden/>
    <w:unhideWhenUsed/>
    <w:rsid w:val="008A555E"/>
    <w:rPr>
      <w:sz w:val="16"/>
      <w:szCs w:val="16"/>
    </w:rPr>
  </w:style>
  <w:style w:type="paragraph" w:styleId="CommentText">
    <w:name w:val="annotation text"/>
    <w:basedOn w:val="Normal"/>
    <w:link w:val="CommentTextChar"/>
    <w:uiPriority w:val="99"/>
    <w:semiHidden/>
    <w:unhideWhenUsed/>
    <w:rsid w:val="008A555E"/>
    <w:pPr>
      <w:spacing w:line="240" w:lineRule="auto"/>
    </w:pPr>
    <w:rPr>
      <w:sz w:val="20"/>
      <w:szCs w:val="20"/>
    </w:rPr>
  </w:style>
  <w:style w:type="character" w:customStyle="1" w:styleId="CommentTextChar">
    <w:name w:val="Comment Text Char"/>
    <w:basedOn w:val="DefaultParagraphFont"/>
    <w:link w:val="CommentText"/>
    <w:uiPriority w:val="99"/>
    <w:semiHidden/>
    <w:rsid w:val="008A555E"/>
    <w:rPr>
      <w:sz w:val="20"/>
      <w:szCs w:val="20"/>
    </w:rPr>
  </w:style>
  <w:style w:type="paragraph" w:styleId="BalloonText">
    <w:name w:val="Balloon Text"/>
    <w:basedOn w:val="Normal"/>
    <w:link w:val="BalloonTextChar"/>
    <w:uiPriority w:val="99"/>
    <w:semiHidden/>
    <w:unhideWhenUsed/>
    <w:rsid w:val="008A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5E"/>
    <w:rPr>
      <w:rFonts w:ascii="Segoe UI" w:hAnsi="Segoe UI" w:cs="Segoe UI"/>
      <w:sz w:val="18"/>
      <w:szCs w:val="18"/>
    </w:rPr>
  </w:style>
  <w:style w:type="paragraph" w:styleId="ListParagraph">
    <w:name w:val="List Paragraph"/>
    <w:basedOn w:val="Normal"/>
    <w:uiPriority w:val="34"/>
    <w:qFormat/>
    <w:rsid w:val="00201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Kelsey</dc:creator>
  <cp:keywords/>
  <dc:description/>
  <cp:lastModifiedBy>Helen Aubrey</cp:lastModifiedBy>
  <cp:revision>3</cp:revision>
  <dcterms:created xsi:type="dcterms:W3CDTF">2025-05-27T19:24:00Z</dcterms:created>
  <dcterms:modified xsi:type="dcterms:W3CDTF">2025-06-02T10:18:00Z</dcterms:modified>
</cp:coreProperties>
</file>